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LAP-htVerwDV — Laufbahnämter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des höheren technischen Verwaltungsdienstes des Bundes umfasst den Vorbereitungsdienst, die Probezeit und alle Ämter dieser Laufbahn. Die Laufbahn gliedert sich in die Fachrichtungen Hochbau, Bauingenieurwesen, Bahnwesen, Maschinen- und Elektrotechnik sowie Luftfahrttechnik.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Vorbereitungsdienst    Baureferendarin/Baureferendar,</w:t>
      </w:r>
    </w:p>
    <w:p>
      <w:r>
        <w:rPr>
          <w:rFonts w:ascii="Courier New" w:hAnsi="Courier New"/>
          <w:sz w:val="17"/>
        </w:rPr>
        <w:t xml:space="preserve">2.    in der Probezeit bis zur Anstellung    Baurätin zur Anstellung (z. A.)/Baurat zur Anstellung (z. A.),</w:t>
      </w:r>
    </w:p>
    <w:p>
      <w:r>
        <w:rPr>
          <w:rFonts w:ascii="Courier New" w:hAnsi="Courier New"/>
          <w:sz w:val="17"/>
        </w:rPr>
        <w:t xml:space="preserve">3.    im Eingangsamt (Besoldungsgruppe A 13)    Baurätin/Baurat,</w:t>
      </w:r>
    </w:p>
    <w:p>
      <w:r>
        <w:rPr>
          <w:rFonts w:ascii="Courier New" w:hAnsi="Courier New"/>
          <w:sz w:val="17"/>
        </w:rPr>
        <w:t xml:space="preserve">4.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14    Bauoberrätin/Bauoberrat,</w:t>
      </w:r>
    </w:p>
    <w:p>
      <w:r>
        <w:rPr>
          <w:rFonts w:ascii="Courier New" w:hAnsi="Courier New"/>
          <w:sz w:val="17"/>
        </w:rPr>
        <w:t xml:space="preserve">b)    Besoldungsgruppe A 15    Baudirektorin/Baudirektor,</w:t>
      </w:r>
    </w:p>
    <w:p>
      <w:r>
        <w:rPr>
          <w:rFonts w:ascii="Courier New" w:hAnsi="Courier New"/>
          <w:sz w:val="17"/>
        </w:rPr>
        <w:t xml:space="preserve">c)    Besoldungsgruppe A 16    Leitende Baudirektorin/ Leitender Baudirektor.</w:t>
      </w:r>
    </w:p>
    <w:p>
      <w:r>
        <w:t xml:space="preserve">Die Beförderungsämter der Bundesbesoldungsordnung B ergeben sich aus der Anlage I des Bundesbesoldungsgesetzes.</w:t>
      </w:r>
    </w:p>
    <w:p>
      <w:r>
        <w:t xml:space="preserve">(3) Die Ämter nach Absatz 1 Satz 1 Nr. 1 bis 4 sind regelmäßig zu durchlaufen.</w:t>
      </w:r>
    </w:p>
    <w:p>
      <w:r>
        <w:rPr>
          <w:color w:val="555555"/>
          <w:sz w:val="17"/>
        </w:rPr>
        <w:t xml:space="preserve">Zitiervorschlag: § 2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