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LAP-htVerwDV — Anwendungsbereich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Laufbahn des höheren technischen Verwaltungsdienstes des Bundes in den Fachrichtungen Hochbau, Bauingenieurwesen, Bahnwesen, Maschinen- und Elektrotechnik sowie Luftfahrttechnik.</w:t>
      </w:r>
    </w:p>
    <w:p>
      <w:r>
        <w:t xml:space="preserve">(2) Soweit Teil 2 nichts Abweichendes regelt, gelten die Bestimmungen des Teils 1 für alle Fachrichtungen der Laufbahn.</w:t>
      </w:r>
    </w:p>
    <w:p>
      <w:r>
        <w:rPr>
          <w:color w:val="555555"/>
          <w:sz w:val="17"/>
        </w:rPr>
        <w:t xml:space="preserve">Zitiervorschlag: § 1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