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28 LAP-hADV 2004 — Inkrafttreten, Außerkrafttreten</w:t>
      </w:r>
    </w:p>
    <w:p>
      <w:r>
        <w:rPr>
          <w:color w:val="555555"/>
          <w:sz w:val="18"/>
        </w:rPr>
        <w:t xml:space="preserve">Verordnung über die Laufbahn, Ausbildung und Prüfung für den höheren Auswärtigen Dienst</w:t>
      </w:r>
    </w:p>
    <w:p>
      <w:r>
        <w:rPr>
          <w:color w:val="555555"/>
          <w:sz w:val="18"/>
        </w:rPr>
        <w:t xml:space="preserve">Historische Fassung: Stand 10.06.2019 bis 13.04.2025. Dies ist nicht die aktuelle Fassung.</w:t>
      </w:r>
    </w:p>
    <w:p>
      <w:r>
        <w:t xml:space="preserve">Diese Verordnung tritt am Tag nach der Verkündung in Kraft.</w:t>
      </w:r>
    </w:p>
    <w:p>
      <w:r>
        <w:rPr>
          <w:color w:val="555555"/>
          <w:sz w:val="17"/>
        </w:rPr>
        <w:t xml:space="preserve">Zitiervorschlag: § 28 LAP-hADV 2004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https://recht.nulegal.eu/gesetze/LAP-hADV%202004/28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