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LAP-hADV 2004 — Digitale Lehrformate</w:t>
      </w:r>
    </w:p>
    <w:p>
      <w:r>
        <w:rPr>
          <w:color w:val="555555"/>
          <w:sz w:val="18"/>
        </w:rPr>
        <w:t xml:space="preserve">Verordnung über die Laufbahn, Ausbildung und Prüfung für den höheren Auswärtigen Dienst</w:t>
      </w:r>
    </w:p>
    <w:p>
      <w:r>
        <w:rPr>
          <w:color w:val="555555"/>
          <w:sz w:val="18"/>
        </w:rPr>
        <w:t xml:space="preserve">Historische Fassung: Stand 04.01.2023 bis 13.04.2025. Dies ist nicht die aktuelle Fassung.</w:t>
      </w:r>
    </w:p>
    <w:p>
      <w:r>
        <w:t xml:space="preserve">Das Auswärtige Amt kann festlegen, dass bis zum 31. Dezember 2024 für alle Lehrveranstaltungen digitale Lehrformate genutzt werden können.</w:t>
      </w:r>
    </w:p>
    <w:p>
      <w:r>
        <w:rPr>
          <w:color w:val="555555"/>
          <w:sz w:val="17"/>
        </w:rPr>
        <w:t xml:space="preserve">Zitiervorschlag: § 10a LAP-hADV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https://recht.nulegal.eu/gesetze/LAP-hADV%202004/10a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