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LAP-gehDAAV 2004 — Zweite Zwischenprüfung</w:t>
      </w:r>
    </w:p>
    <w:p>
      <w:r>
        <w:rPr>
          <w:color w:val="555555"/>
          <w:sz w:val="18"/>
        </w:rPr>
        <w:t xml:space="preserve">Verordnung über die Laufbahn, Ausbildung und Prüfung für den gehobenen Auswärtigen Dienst</w:t>
      </w:r>
    </w:p>
    <w:p>
      <w:r>
        <w:rPr>
          <w:color w:val="555555"/>
          <w:sz w:val="18"/>
        </w:rPr>
        <w:t xml:space="preserve">Historische Fassung: Stand 04.01.2023 bis 13.04.2025. Dies ist nicht die aktuelle Fassung.</w:t>
      </w:r>
    </w:p>
    <w:p>
      <w:r>
        <w:t xml:space="preserve">(1) Während des Hauptstudiums II wird eine zweite Zwischenprüfung als Fremdsprachenprüfung abgelegt. In ihr haben die Anwärterinnen und Anwärter nachzuweisen, dass sie den praxisbezogenen Anforderungen in der englischen und französischen Sprache gerecht werden. Die Prüfung besteht aus einem schriftlichen und einem mündlichen Teil.</w:t>
      </w:r>
    </w:p>
    <w:p>
      <w:r>
        <w:t xml:space="preserve">(2) Die Prüfung wird vor einer Prüfungskommission abgelegt, bestehend aus</w:t>
      </w:r>
    </w:p>
    <w:p>
      <w:pPr>
        <w:ind w:left="420"/>
      </w:pPr>
      <w:r>
        <w:t xml:space="preserve">1. einer Beamtin oder einem Beamten des höheren Dienstes als Vorsitzender oder Vorsitzendem,</w:t>
      </w:r>
    </w:p>
    <w:p>
      <w:pPr>
        <w:ind w:left="420"/>
      </w:pPr>
      <w:r>
        <w:t xml:space="preserve">2. einer Beamtin oder einem Beamten des gehobenen Dienstes als Beisitzerin oder Beisitzer und</w:t>
      </w:r>
    </w:p>
    <w:p>
      <w:pPr>
        <w:ind w:left="420"/>
      </w:pPr>
      <w:r>
        <w:t xml:space="preserve">3. zwei Sprachlehrerinnen oder Sprachlehrern als Fachprüferinnen oder Fachprüfern.</w:t>
      </w:r>
    </w:p>
    <w:p>
      <w:r>
        <w:t xml:space="preserve">§ 25 Abs. 1 und 5 Satz 2 bis 4, § 26 Abs. 5 und § 27 Abs. 1 und 2 gelten entsprechend.</w:t>
      </w:r>
    </w:p>
    <w:p>
      <w:r>
        <w:t xml:space="preserve">(2a) Die Hochschule kann im Einvernehmen mit dem Auswärtigen Amt festlegen, dass bis zum 31. Dezember 2024 die Prüfungskommission nur aus folgenden Mitgliedern besteht:</w:t>
      </w:r>
    </w:p>
    <w:p>
      <w:pPr>
        <w:ind w:left="420"/>
      </w:pPr>
      <w:r>
        <w:t xml:space="preserve">1. einer Beamtin oder einem Beamten des höheren oder gehobenen Dienstes als Vorsitzender oder Vorsitzendem und</w:t>
      </w:r>
    </w:p>
    <w:p>
      <w:pPr>
        <w:ind w:left="420"/>
      </w:pPr>
      <w:r>
        <w:t xml:space="preserve">2. einer Sprachlehrerin oder einem Sprachlehrer als Fachprüferin oder Fachprüfer oder zwei Sprachlehrerinnen oder zwei Sprachlehrern als Fachprüferinnen oder Fachprüfer.</w:t>
      </w:r>
    </w:p>
    <w:p>
      <w:r>
        <w:t xml:space="preserve">(3) In der schriftlichen Prüfung sind je eine Aufsichtsarbeit in der englischen und der französischen Sprache zu fertigen. Die Prüfungsaufgaben bestimmt das Prüfungsamt (§ 24). § 29 Abs. 2 sowie 4 bis 8 ist entsprechend anzuwenden. An einem Tag wird nur in einer Sprache geprüft.</w:t>
      </w:r>
    </w:p>
    <w:p>
      <w:r>
        <w:t xml:space="preserve">(3a) Die Hochschule kann mit Zustimmung des Auswärtigen Amts festlegen, dass bis zum 31. Dezember 2024 eine der beiden Aufsichtsarbeiten</w:t>
      </w:r>
    </w:p>
    <w:p>
      <w:pPr>
        <w:ind w:left="420"/>
      </w:pPr>
      <w:r>
        <w:t xml:space="preserve">1. mit Unterstützung durch Informationstechnik durchgeführt wird oder</w:t>
      </w:r>
    </w:p>
    <w:p>
      <w:pPr>
        <w:ind w:left="420"/>
      </w:pPr>
      <w:r>
        <w:t xml:space="preserve">2. durch eine Hausarbeit oder eine andere schriftliche Ausarbeitung ersetzt wird.</w:t>
      </w:r>
    </w:p>
    <w:p>
      <w:r>
        <w:t xml:space="preserve">(4) In der mündlichen Prüfung sollen die Anwärterinnen und Anwärter einzeln in beiden Sprachen jeweils mindestens 15 und höchstens 25 Minuten geprüft werden. § 31 Abs. 2, 4 und 5 und die §§ 32 und 33 sind entsprechend anzuwenden.</w:t>
      </w:r>
    </w:p>
    <w:p>
      <w:r>
        <w:t xml:space="preserve">(4a) Die Hochschule kann mit Zustimmung des Auswärtigen Amts festlegen, dass bis zum 31. Dezember 2024 für die Durchführung des mündlichen Teils der zweiten Zwischenprüfung Videokonferenztechnik genutzt wird, wenn dafür geeignete technische Einrichtungen zur Verfügung stehen.</w:t>
      </w:r>
    </w:p>
    <w:p>
      <w:r>
        <w:t xml:space="preserve">(5) Die Zwischenprüfung ist bestanden, wenn mindestens die Durchschnittspunktzahl 5 erreicht und die Leistung in keiner der beiden Sprachen mit "ungenügend" bewertet worden ist. Ist die Leistung in einer der beiden Sprachen mit "mangelhaft" bewertet worden, muss für das Bestehen der Zwischenprüfung die Durchschnittspunktzahl 6 erreicht sein. § 35 Abs. 3 gilt entsprechend.</w:t>
      </w:r>
    </w:p>
    <w:p>
      <w:r>
        <w:t xml:space="preserve">(6) Haben Anwärterinnen und Anwärter die Zwischenprüfung nicht bestanden, gilt § 38 Abs. 1 entsprechend. Die weitere Ausbildung wird wegen der Wiederholung der Prüfung nicht ausgesetzt. Das Prüfungsamt bestimmt auf Vorschlag der Prüfungskommission, innerhalb welcher Frist die Zwischenprüfung wiederholt werden kann.</w:t>
      </w:r>
    </w:p>
    <w:p>
      <w:r>
        <w:t xml:space="preserve">(7) Das Prüfungsamt (§ 24) erteilt den Anwärterinnen und Anwärtern über das Ergebnis der bestandenen zweiten Zwischenprüfung ein Zeugnis, das die Rangpunkte, die Noten und die Durchschnittspunktzahl enthält. Ist die Prüfung nicht bestanden, gibt das Prüfungsamt dies den Anwärterinnen und Anwärtern schriftlich bekannt. Das Zeugnis nach Satz 1 und die Bekanntgabe nach Satz 2 werden mit einer Rechtsbehelfsbelehrung versehen.</w:t>
      </w:r>
    </w:p>
    <w:p>
      <w:r>
        <w:t xml:space="preserve">(8) § 37 Abs. 2 gilt entsprechend.</w:t>
      </w:r>
    </w:p>
    <w:p>
      <w:r>
        <w:rPr>
          <w:color w:val="555555"/>
          <w:sz w:val="17"/>
        </w:rPr>
        <w:t xml:space="preserve">Zitiervorschlag: § 23 LAP-gehDAAV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https://recht.nulegal.eu/gesetze/LAP-gehDAAV%202004/23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