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LAP-gehDAAV 2004 — Grundstudium</w:t>
      </w:r>
    </w:p>
    <w:p>
      <w:r>
        <w:rPr>
          <w:color w:val="555555"/>
          <w:sz w:val="18"/>
        </w:rPr>
        <w:t xml:space="preserve">Verordnung über die Laufbahn, Ausbildung und Prüfung für den gehobenen Auswärtigen Dienst</w:t>
      </w:r>
    </w:p>
    <w:p>
      <w:r>
        <w:rPr>
          <w:color w:val="555555"/>
          <w:sz w:val="18"/>
        </w:rPr>
        <w:t xml:space="preserve">Historische Fassung: Stand 04.01.2023 bis 13.04.2025. Dies ist nicht die aktuelle Fassung.</w:t>
      </w:r>
    </w:p>
    <w:p>
      <w:r>
        <w:t xml:space="preserve">(1) Das Grundstudium umfasst die für die Laufbahnen des gehobenen Dienstes allgemein geeigneten Ausbildungsinhalte. Es vermittelt den Anwärterinnen und Anwärtern im Rahmen einer fachübergreifenden beruflichen Grundbildung das Verständnis für die grundlegenden Wert- und Strukturentscheidungen des Grundgesetzes für eine freiheitliche demokratische Staats- und Gesellschaftsordnung und für die sozialen, gesellschaftlichen, wirtschaftlichen und rechtlichen Bezüge sowie Kenntnisse, Fähigkeiten und Fertigkeiten zur Analyse von Arbeitsaufgaben, zur Auswahl und Anwendung von Arbeitsmethoden und -mitteln und zur innerbehördlichen und fachübergreifenden Zusammenarbeit. Das Grundstudium soll die Fähigkeit zu adressatengerechtem Verhalten fördern und bereitet auch auf das nachfolgende Praktikum vor.</w:t>
      </w:r>
    </w:p>
    <w:p>
      <w:r>
        <w:t xml:space="preserve">(2) Studiengebiete des Grundstudiums sind, ausgerichtet an den Aufgaben des gehobenen Dienstes:</w:t>
      </w:r>
    </w:p>
    <w:p>
      <w:pPr>
        <w:ind w:left="420"/>
      </w:pPr>
      <w:r>
        <w:t xml:space="preserve">1. politische und öffentlich-rechtliche Grundlagen des Verwaltungshandelns, einschließlich europarechtlicher Bezüge,</w:t>
      </w:r>
    </w:p>
    <w:p>
      <w:pPr>
        <w:ind w:left="420"/>
      </w:pPr>
      <w:r>
        <w:t xml:space="preserve">2. zivilrechtliche Grundlagen des Verwaltungshandelns,</w:t>
      </w:r>
    </w:p>
    <w:p>
      <w:pPr>
        <w:ind w:left="420"/>
      </w:pPr>
      <w:r>
        <w:t xml:space="preserve">3. volks- und finanzwirtschaftliche Grundlagen des Verwaltungshandelns,</w:t>
      </w:r>
    </w:p>
    <w:p>
      <w:pPr>
        <w:ind w:left="420"/>
      </w:pPr>
      <w:r>
        <w:t xml:space="preserve">4. betriebswirtschaftliche Grundlagen des Verwaltungshandelns, Organisation und Informationsverarbeitung,</w:t>
      </w:r>
    </w:p>
    <w:p>
      <w:pPr>
        <w:ind w:left="420"/>
      </w:pPr>
      <w:r>
        <w:t xml:space="preserve">5. Fremdsprachen,</w:t>
      </w:r>
    </w:p>
    <w:p>
      <w:pPr>
        <w:ind w:left="420"/>
      </w:pPr>
      <w:r>
        <w:t xml:space="preserve">6. sozialwissenschaftliche Grundlagen des Verwaltungshandelns (Psychologie, Soziologie, Pädagogik) und</w:t>
      </w:r>
    </w:p>
    <w:p>
      <w:pPr>
        <w:ind w:left="420"/>
      </w:pPr>
      <w:r>
        <w:t xml:space="preserve">7. laufbahntypische Bereiche der Aufgabenerfüllung.</w:t>
      </w:r>
    </w:p>
    <w:p>
      <w:r>
        <w:t xml:space="preserve">(2a) Die Hochschule kann mit Zustimmung des Auswärtigen Amts festlegen, dass bis zum 31. Dezember 2024 Lehrveranstaltungen oder Teile von Lehrveranstaltungen in einen anderen Studienabschnitt der Fachstudien verschoben werden. Möglich ist eine Verschiebung auch in ein Praktikum.</w:t>
      </w:r>
    </w:p>
    <w:p>
      <w:r>
        <w:rPr>
          <w:color w:val="555555"/>
          <w:sz w:val="17"/>
        </w:rPr>
        <w:t xml:space="preserve">Zitiervorschlag: § 13 LAP-gehDAAV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https://recht.nulegal.eu/gesetze/LAP-gehDAAV%202004/13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