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LAP-gbautDV</w:t>
      </w:r>
    </w:p>
    <w:p>
      <w:r>
        <w:rPr>
          <w:color w:val="555555"/>
          <w:sz w:val="18"/>
        </w:rPr>
        <w:t xml:space="preserve">Verordnung über die Laufbahn, Ausbildung und Prüfung für den gehobenen bautechnischen Verwaltungsdienst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15 Abs. 1 Nr. 2 des Bundesbeamtengesetzes in der Fassung der Bekanntmachung vom 31. März 1999 (BGBl. I S. 675) in Verbindung mit § 2 Abs. 4 der Bundeslaufbahnverordnung in der Fassung der Bekanntmachung vom 2. Juli 2002 (BGBl. I S. 2459, 2671) verordnet das Bundesministerium für Verkehr, Bau- und Wohnungswesen im Einvernehmen mit dem Bundesministerium des Innern:</w:t>
      </w:r>
    </w:p>
    <w:p>
      <w:r>
        <w:rPr>
          <w:color w:val="555555"/>
          <w:sz w:val="17"/>
        </w:rPr>
        <w:t xml:space="preserve">Zitiervorschlag: Eingangsformel LAP-gbautDV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https://recht.nulegal.eu/gesetze/LAP-gbautDV/eingangsformel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