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LAG — Auszug aus EinigVtr Anlage I Kapitel II Sachgebiet D Abschnitt III (BGBl. II 1990, 889, 920) - Maßgaben für das beigetretene Gebiet (Art. 3 EinigVtr) -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 ...</w:t>
      </w:r>
    </w:p>
    <w:p>
      <w:pPr>
        <w:ind w:left="420"/>
      </w:pPr>
      <w:r>
        <w:t xml:space="preserve">4. Lastenausgleichsgesetz in der Fassung der Bekanntmachung vom 1. Oktober 1969 (BGBl. I S. 1909), zuletzt geändert durch Artikel 2 des Gesetzes vom 28. Juni 1990 (BGBl. I S. 1247),mit folgenden Maßgaben:</w:t>
      </w:r>
    </w:p>
    <w:p>
      <w:pPr>
        <w:ind w:left="780"/>
      </w:pPr>
      <w:r>
        <w:t xml:space="preserve">a) (nicht mehr anzuwenden)</w:t>
      </w:r>
    </w:p>
    <w:p>
      <w:pPr>
        <w:ind w:left="780"/>
      </w:pPr>
      <w:r>
        <w:t xml:space="preserve">b) § 6 Abs. 4, §§ 305, 306, 308 bis 311 sowie § 313 Abs. 1 Satz 3, § 314 Abs. 1 Satz 2 und § 316 Abs. 1 Satz 1 sind in dem in Artikel 3 des Vertrages genannten Gebiet nicht anzuwenden.</w:t>
      </w:r>
    </w:p>
    <w:p>
      <w:pPr>
        <w:ind w:left="780"/>
      </w:pPr>
      <w:r>
        <w:t xml:space="preserve">c) Der Präsident des Bundesausgleichsamtes bestimmt für Antragsteller mit ständigem Aufenthalt in dem in Artikel 3 des Vertrages genannten Gebiet das zuständige Ausgleichsamt.</w:t>
      </w:r>
    </w:p>
    <w:p>
      <w:r>
        <w:rPr>
          <w:color w:val="555555"/>
          <w:sz w:val="17"/>
        </w:rPr>
        <w:t xml:space="preserve">Zitiervorschlag: Anhang EV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