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375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 *) -----</w:t>
      </w:r>
    </w:p>
    <w:p>
      <w:pPr>
        <w:ind w:left="420"/>
      </w:pPr>
      <w:r>
        <w:t xml:space="preserve">*) Gemäß Anlage I Kapitel II Sachgebiet D Abschnitt III Nr. 4 des Einigungsvertrages vom 31. August 1990 in Verbindung mit Artikel 1 des Gesetzes vom 23. September 1990 (BGBl. 1990 II S. 885, 920) und in Verbindung mit Artikel 1 Nr. 3 des Gesetzes vom 20. Dezember 1991 (BGBl. I S. 2270) ist das Lastenausgleichsgesetz in dem in Artikel 3 des Einigungsvertrages genannten Gebiet mit folgenden Maßgaben in Kraft getreten:</w:t>
      </w:r>
    </w:p>
    <w:p>
      <w:pPr>
        <w:ind w:left="780"/>
      </w:pPr>
      <w:r>
        <w:t xml:space="preserve">a) In dem in Artikel 3 des Vertrages genannten Gebiet ist § 230 Abs. 2 Nr. 1 nur anzuwenden auf Personen, die nach dem Wirksamwerden des Beitritts und vor dem 1. Januar 1993 ihren ständigen Aufenthalt in diesem Gebiet genommen haben.</w:t>
      </w:r>
    </w:p>
    <w:p>
      <w:pPr>
        <w:ind w:left="780"/>
      </w:pPr>
      <w:r>
        <w:t xml:space="preserve">b) § 6 Abs. 4, §§ 305, 306, 308 bis 311 sowie § 313 Abs. 1 Satz 3, § 314 Abs. 1 Satz 2 und § 316 Abs. 1 Satz 1 sind in dem in Artikel 3 genannten Gebiet nicht anzuwenden.</w:t>
      </w:r>
    </w:p>
    <w:p>
      <w:pPr>
        <w:ind w:left="780"/>
      </w:pPr>
      <w:r>
        <w:t xml:space="preserve">c) Der Präsident des Bundesausgleichsamtes bestimmt für Antragsteller mit ständigem Aufenthalt in dem in Artikel 3 des Vertrages genannten Gebiet das zuständige Ausgleichsamt.</w:t>
      </w:r>
    </w:p>
    <w:p>
      <w:r>
        <w:rPr>
          <w:color w:val="555555"/>
          <w:sz w:val="17"/>
        </w:rPr>
        <w:t xml:space="preserve">Zitiervorschlag: § 375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