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373 LAG — Übergangsvorschrift aus Anlass des Gesetzes zur Änderung und Bereinigung des Lastenausgleichsrechts</w:t>
      </w:r>
    </w:p>
    <w:p>
      <w:r>
        <w:rPr>
          <w:color w:val="555555"/>
          <w:sz w:val="18"/>
        </w:rPr>
        <w:t xml:space="preserve">Lastenausgleichsgesetz</w:t>
      </w:r>
    </w:p>
    <w:p>
      <w:r>
        <w:rPr>
          <w:color w:val="555555"/>
          <w:sz w:val="18"/>
        </w:rPr>
        <w:t xml:space="preserve">Stand: 10.06.2019 (konsolidierte Textfassung, kein amtliches Inkrafttretensdatum)</w:t>
      </w:r>
    </w:p>
    <w:p>
      <w:r>
        <w:t xml:space="preserve">Die mit den Artikeln 2 und 4 bis 8 des Gesetzes zur Änderung und Bereinigung des Lastenausgleichsrechts vom 21. Juni 2006 (BGBl. I S. 1323) aufgehobenen Vorschriften finden in Verfahren nach diesem Gesetz, dem Feststellungsgesetz, dem Beweissicherungs- und Feststellungsgesetz sowie dem Reparationsschädengesetz weiter Anwendung, wenn sie erst nach dem 1. Juli 2006 abgeschlossen werden. Dies gilt auch für Verfahren über die Änderung von Entscheidungen, die Wiederaufnahme von Verfahren sowie die Rückforderung von Leistungen, insbesondere infolge Schadensausgleichs. Vergleiche, wie in § 332 Abs. 4 vorgesehen, sind zulässig.</w:t>
      </w:r>
    </w:p>
    <w:p>
      <w:r>
        <w:rPr>
          <w:color w:val="555555"/>
          <w:sz w:val="17"/>
        </w:rPr>
        <w:t xml:space="preserve">Zitiervorschlag: § 373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https://recht.nulegal.eu/gesetze/LAG/373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