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367 LAG — Erlaß von Rechtsverordnungen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diesem Gesetz vorgesehenen Rechtsverordnungen erläßt die Bundesregierung mit Zustimmung des Bundesrates.</w:t>
      </w:r>
    </w:p>
    <w:p>
      <w:r>
        <w:t xml:space="preserve">(2) Durch Rechtsverordnung nach Absatz 1 kann die Ermächtigung zum Erlaß von Rechtsverordnungen auf den Präsidenten des Bundesausgleichsamtes weiter übertragen werden; der Präsident des Bundesausgleichsamtes bedarf zum Erlaß solcher Rechtsverordnungen nicht der Zustimmung des Bundesrates.</w:t>
      </w:r>
    </w:p>
    <w:p>
      <w:r>
        <w:rPr>
          <w:color w:val="555555"/>
          <w:sz w:val="17"/>
        </w:rPr>
        <w:t xml:space="preserve">Zitiervorschlag: § 367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