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364 LAG — Ergänzende Maßnahmen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in diesem Gesetz vorgesehenen Leistungen werden Förderungsmaßnahmen, welche der Bund, die Länder, Gemeinden und Gemeindeverbände zum Zweck der Eingliederung von Vertriebenen und Kriegssachgeschädigten durchführen, nicht berührt.</w:t>
      </w:r>
    </w:p>
    <w:p>
      <w:r>
        <w:t xml:space="preserve">(2) Zur Durchführung des Lastenausgleichs bleibt es den Gebietskörperschaften vorbehalten, ergänzende Vorschriften über Erleichterungen auf dem Gebiet der öffentlichen Abgaben sowie der Gebühren und Kosten zu treffen; im Bereich des Bundes kann das Nähere durch Rechtsverordnung bestimmt werden.</w:t>
      </w:r>
    </w:p>
    <w:p>
      <w:r>
        <w:rPr>
          <w:color w:val="555555"/>
          <w:sz w:val="17"/>
        </w:rPr>
        <w:t xml:space="preserve">Zitiervorschlag: § 364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