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359 LAG — Nichtberücksichtigung von Schäden und Verlusten, Rückerstattungsfälle</w:t>
      </w:r>
    </w:p>
    <w:p>
      <w:r>
        <w:rPr>
          <w:color w:val="555555"/>
          <w:sz w:val="18"/>
        </w:rPr>
        <w:t xml:space="preserve">Lastenausgleichsgesetz</w:t>
      </w:r>
    </w:p>
    <w:p>
      <w:r>
        <w:rPr>
          <w:color w:val="555555"/>
          <w:sz w:val="18"/>
        </w:rPr>
        <w:t xml:space="preserve">Stand: 10.06.2019 (konsolidierte Textfassung, kein amtliches Inkrafttretensdatum)</w:t>
      </w:r>
    </w:p>
    <w:p>
      <w:r>
        <w:t xml:space="preserve">(1) Schäden und Verluste an Vermögensgegenständen, die in Ausnutzung von Maßnahmen der nationalsozialistischen Gewaltherrschaft erworben worden sind, können weder einen Anspruch auf Ausgleichsleistungen begründen noch bei Festsetzung der Vermögensabgabe berücksichtigt werden. Das Nähere wird durch Rechtsverordnung bestimmt.</w:t>
      </w:r>
    </w:p>
    <w:p>
      <w:r>
        <w:t xml:space="preserve">(2) Die Gewährung von Ausgleichsleistungen und die Ermäßigung der Vermögensabgabe in denjenigen Fällen, in denen Wirtschaftsgüter in der Zeit vom 30. Januar 1933 bis zum 8. Mai 1945 im Sinne der Rückerstattungsgesetze entzogen worden sind, wird durch Rechtsverordnung entsprechend den Grundsätzen dieses Gesetzes geregelt. Hierbei kann zugunsten von Personen, die Verfolgungsmaßnahmen in den Vertreibungsgebieten ausgesetzt waren, die Vertriebeneneigenschaft unterstellt werden; bei diesen Personen sowie bei Personen, denen Schäden im Sinne des § 15a Abs. 1 Nr. 4 entstanden sind, kann von den Voraussetzungen des § 230 abgesehen werden.</w:t>
      </w:r>
    </w:p>
    <w:p>
      <w:r>
        <w:t xml:space="preserve">(3) Bei der Gewährung von Ausgleichsleistungen und bei der Festsetzung der Vermögensabgabe bleiben ferner unberücksichtigt</w:t>
      </w:r>
    </w:p>
    <w:p>
      <w:pPr>
        <w:ind w:left="420"/>
      </w:pPr>
      <w:r>
        <w:t xml:space="preserve">1. Schäden und Verluste von Personen, die der Vertreibung oder Schädigung Deutscher erheblichen Vorschub geleistet oder im Vertreibungsgebiet nach Beginn der allgemeinen Vertreibungsmaßnahmen durch ihr Verhalten gegen die Grundsätze der Menschlichkeit oder Rechtsstaatlichkeit verstoßen haben,</w:t>
      </w:r>
    </w:p>
    <w:p>
      <w:pPr>
        <w:ind w:left="420"/>
      </w:pPr>
      <w:r>
        <w:t xml:space="preserve">2. Schäden und Verluste von Personen, die dem in der sowjetischen Besatzungszone Deutschlands und im Sowjetsektor von Berlin herrschenden politischen System erheblichen Vorschub geleistet oder dort seit der Besetzung durch ihr Verhalten gegen die Grundsätze der Menschlichkeit oder Rechtsstaatlichkeit verstoßen haben,</w:t>
      </w:r>
    </w:p>
    <w:p>
      <w:pPr>
        <w:ind w:left="420"/>
      </w:pPr>
      <w:r>
        <w:t xml:space="preserve">3. Schäden und Verluste an Wirtschaftsgütern, die nach Beginn der allgemeinen Vertreibungsmaßnahmen unter Ausnutzung der im Vertreibungsgebiet bestehenden Verhältnisse ohne angemessene Gegenleistung oder durch ein gegen die guten Sitten verstoßendes oder durch Drohung oder Zwang veranlaßtes oder mit einer widerrechtlichen Besitzentziehung verbundenes Rechtsgeschäft oder durch eine sonstige unerlaubte Handlung erworben worden sind.</w:t>
      </w:r>
    </w:p>
    <w:p>
      <w:r>
        <w:rPr>
          <w:color w:val="555555"/>
          <w:sz w:val="17"/>
        </w:rPr>
        <w:t xml:space="preserve">Zitiervorschlag: § 359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