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350c LAG — Verzinsung, Säumniszuschläge und Auslagen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Vorschriften des § 234 Abs. 1 und 2 und der §§ 237, 238 und 240 der Abgabenordnung sind entsprechend anzuwenden.</w:t>
      </w:r>
    </w:p>
    <w:p>
      <w:r>
        <w:t xml:space="preserve">(2) Die nach Fälligkeit eines Rückforderungsanspruchs für die Verwaltung der Forderung durch die Kreditanstalt für Wiederaufbau entstehenden Auslagen trägt der Rückzahlungsverpflichtete.</w:t>
      </w:r>
    </w:p>
    <w:p>
      <w:r>
        <w:rPr>
          <w:color w:val="555555"/>
          <w:sz w:val="17"/>
        </w:rPr>
        <w:t xml:space="preserve">Zitiervorschlag: § 350c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https://recht.nulegal.eu/gesetze/LAG/350c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