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350b LAG — Fälligkeit, Stundung und Vollstreckung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Rückforderungsanspruch wird einen Monat nach Zustellung des Leistungsbescheides fällig. Für Zwecke der Verrechnung tritt die Fälligkeit mit Zustellung des Rückforderungsbescheides ein.</w:t>
      </w:r>
    </w:p>
    <w:p>
      <w:r>
        <w:t xml:space="preserve">(2) § 222 der Abgabenordnung ist entsprechend anzuwenden.</w:t>
      </w:r>
    </w:p>
    <w:p>
      <w:r>
        <w:t xml:space="preserve">(3) Auf öffentlich-rechtliche Geldforderungen des Bundes finden die Vorschriften des Verwaltungsvollstreckungsgesetzes vom 27. April 1953 (Bundesgesetzbl. I S. 157) Anwendung. Den Leistungsbescheid nach § 3 Abs. 2 und die Vollstreckungsanordnung nach § 3 Abs. 4 des Verwaltungsvollstreckungsgesetzes erläßt der Leiter des Ausgleichsamtes. Hinsichtlich des Rechtsbehelfs gegen den Leistungsbescheid gilt § 340 Abs. 2 und 3 entsprechend.</w:t>
      </w:r>
    </w:p>
    <w:p>
      <w:r>
        <w:t xml:space="preserve">(4) Vollstreckungsbehörden im Sinne des § 4 des Verwaltungsvollstreckungsgesetzes sind, sofern die Länder keine anderen Behörden bestimmen, die Verwaltungen der Stadt- und Landkreise.</w:t>
      </w:r>
    </w:p>
    <w:p>
      <w:r>
        <w:t xml:space="preserve">(5) Die Länder können bestimmen, daß an Stelle der Vorschriften des Verwaltungsvollstreckungsgesetzes auf öffentlich-rechtliche Geldforderungen des Bundes die landesrechtlichen Vorschriften über das Verwaltungszwangsverfahren Anwendung finden.</w:t>
      </w:r>
    </w:p>
    <w:p>
      <w:r>
        <w:rPr>
          <w:color w:val="555555"/>
          <w:sz w:val="17"/>
        </w:rPr>
        <w:t xml:space="preserve">Zitiervorschlag: § 350b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https://recht.nulegal.eu/gesetze/LAG/350b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