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350a LAG — Erstattung und Verrechnung von Ausgleichsleistungen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Empfänger von Ausgleichsleistungen, deren Erben oder weitere Erben sind verpflichtet, zuviel erhaltene Beträge zurückzuerstatten, soweit nach diesem Gesetz oder nach allgemeinem Verwaltungsrecht ein Rückforderungsanspruch besteht. Der Rückforderungsanspruch kann außer in den Fällen des § 342 Abs. 2 und des § 349 sowie vorbehaltlich des Absatzes 2 nur innerhalb von vier Jahren nach Ablauf des Kalenderjahres, in dem die Überzahlung erfolgte, geltend gemacht werden; die Frist beträgt zehn Jahre, wenn Empfänger von Ausgleichsleistungen die Überzahlung zu vertreten oder mitzuvertreten haben.</w:t>
      </w:r>
    </w:p>
    <w:p>
      <w:r>
        <w:t xml:space="preserve">(2) Rückforderungsansprüche können mit allen Ausgleichsleistungen, ausgenommen laufende Zahlungen von Kriegsschadenrente (§§ 261 ff.) sowie Sterbegeld (§ 292b), und mit allen fälligen Geldleistungen nach dem Entschädigungs- und Ausgleichsleistungsgesetz verrechnet werden. Dies gilt auch, soweit ein Rückforderungsanspruch wegen Fristablaufs nach Absatz 1 Satz 2 nicht mehr geltend gemacht werden kann. Soweit ein zuviel erhaltener Betrag durch einen Anspruch auf Hauptentschädigung gedeckt ist, ist mit diesem zu verrechnen; bezieht der Berechtigte Entschädigungsrente oder Unterhaltshilfe auf Zeit, ist der nach § 266 Abs. 2 ermittelte Grundbetrag entsprechend zu kürzen. § 290 bleibt unberührt.</w:t>
      </w:r>
    </w:p>
    <w:p>
      <w:r>
        <w:t xml:space="preserve">(3) Für das Verfahren gilt § 343 Abs. 1 und 2 entsprechend.</w:t>
      </w:r>
    </w:p>
    <w:p>
      <w:r>
        <w:rPr>
          <w:color w:val="555555"/>
          <w:sz w:val="17"/>
        </w:rPr>
        <w:t xml:space="preserve">Zitiervorschlag: § 350a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https://recht.nulegal.eu/gesetze/LAG/350a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