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346 LAG — Besondere Regelung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Der Präsident des Bundesausgleichsamtes kann nach Maßgabe des § 319 Abs. 2 Satz 1 das Verfahren abweichend von den Vorschriften des § 345 regeln. Dabei ist, soweit in § 345 die Anhörung des Ausgleichsausschusses vorgeschrieben ist, sicherzustellen, daß Vertreter der Vertriebenen und Kriegssachgeschädigten vor der Entscheidung gehört werden. Der Geschädigte muß eine Nachprüfung des Bescheids, sofern dieser nicht durch den Präsidenten des Bundesausgleichsamtes ergangen ist, herbeiführen können; die Nachprüfung muß sich mindestens darauf beziehen, ob ein Ermessensmißbrauch vorliegt.</w:t>
      </w:r>
    </w:p>
    <w:p>
      <w:r>
        <w:t xml:space="preserve">(2) Der Präsident des Bundesausgleichsamtes kann nach Maßgabe des § 319 Abs. 2 Satz 1 ferner bestimmen, daß bei Erfüllung von Ansprüchen auf Hauptentschädigung (§ 252) von der Anhörung des Ausgleichsausschusses abgesehen wird, sofern die Entscheidung sich aus allgemein festgelegten objektiven Maßstäben ergibt.</w:t>
      </w:r>
    </w:p>
    <w:p>
      <w:r>
        <w:rPr>
          <w:color w:val="555555"/>
          <w:sz w:val="17"/>
        </w:rPr>
        <w:t xml:space="preserve">Zitiervorschlag: § 346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