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344 LAG — Feststellungsverfahren</w:t>
      </w:r>
    </w:p>
    <w:p>
      <w:r>
        <w:rPr>
          <w:color w:val="555555"/>
          <w:sz w:val="18"/>
        </w:rPr>
        <w:t xml:space="preserve">Lastenausgleichsgesetz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Im Verfahren nach dem Feststellungsgesetz und im Feststellungsverfahren nach dem Beweissicherungs- und Feststellungsgesetz sind Rechtsbehelfe nicht gegeben, wenn auch bei erfolgreicher Durchführung des Verfahrens über den Rechtsbehelf höhere Ausgleichsleistungen nach den Vorschriften dieses Gesetzes nicht gewährt werden können.</w:t>
      </w:r>
    </w:p>
    <w:p>
      <w:r>
        <w:rPr>
          <w:color w:val="555555"/>
          <w:sz w:val="17"/>
        </w:rPr>
        <w:t xml:space="preserve">Zitiervorschlag: § 344 LAG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https://recht.nulegal.eu/gesetze/LAG/344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