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343 LAG — Erlöschen, Einstellung und Rückforderung der Kriegsschadenrente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Ändern sich die Voraussetzungen für die Gewährung von Kriegsschadenrente nachträglich (§ 288), so verfügt das Ausgleichsamt das Erlöschen des Anspruchs nach § 292a Abs. 3 Nr. 1, die Einstellung, das Ruhen oder die Änderung der Zahlungen.</w:t>
      </w:r>
    </w:p>
    <w:p>
      <w:r>
        <w:t xml:space="preserve">(2) Für das Verfahren gelten die Vorschriften der §§ 336ff. Ein Rechtsbehelf hat keine aufschiebende Wirkung. Dies gilt auch für Festsetzungsbescheide nach § 292a Abs. 1 Nr. 1.</w:t>
      </w:r>
    </w:p>
    <w:p>
      <w:r>
        <w:t xml:space="preserve">(3) Die Absätze 1 und 2 gelten entsprechend, wenn der Berechtigte verpflichtet ist, zuviel erhaltene Beträge zurückzuerstatten (§ 290).</w:t>
      </w:r>
    </w:p>
    <w:p>
      <w:r>
        <w:t xml:space="preserve">(4) In den Fällen des § 342 Abs. 2 Nr. 2 hat es bei den geleisteten Zahlungen an Unterhaltshilfe sein Bewenden; Entsprechendes gilt für die Zahlungen an Entschädigungsrente, soweit sie zur Abgeltung des Verlusts der beruflichen oder sonstigen Existenzgrundlage geleistet worden sind oder hätten geleistet werden können.</w:t>
      </w:r>
    </w:p>
    <w:p>
      <w:r>
        <w:t xml:space="preserve">(5) Für Zeiträume nach dem 31. Dezember 2005 gilt § 292a.</w:t>
      </w:r>
    </w:p>
    <w:p>
      <w:r>
        <w:rPr>
          <w:color w:val="555555"/>
          <w:sz w:val="17"/>
        </w:rPr>
        <w:t xml:space="preserve">Zitiervorschlag: § 343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