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340 LAG — Aufschiebende Wirkung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Beschwerde, die Anfechtungsklage und die Revision haben aufschiebende Wirkung.</w:t>
      </w:r>
    </w:p>
    <w:p>
      <w:r>
        <w:t xml:space="preserve">(2) Abweichend von Absatz 1 entfällt die aufschiebende Wirkung bei Rechtsbehelfen gegen Rückforderungsbescheide und Leistungsbescheide sowie Bescheide nach § 349 Abs. 3a bis 3c.</w:t>
      </w:r>
    </w:p>
    <w:p>
      <w:r>
        <w:t xml:space="preserve">(3) In den Fällen des Absatzes 2 kann das Ausgleichsamt die Vollziehung ganz oder teilweise aussetzen. § 80 Abs. 4 Satz 2, 3 und Abs. 6 der Verwaltungsgerichtsordnung gilt entsprechend.</w:t>
      </w:r>
    </w:p>
    <w:p>
      <w:r>
        <w:rPr>
          <w:color w:val="555555"/>
          <w:sz w:val="17"/>
        </w:rPr>
        <w:t xml:space="preserve">Zitiervorschlag: § 340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