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339 LAG — Rechtsmittel gegen Entscheidungen des Verwaltungsgerichts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gegen ein Urteil und die Beschwerde gegen eine andere Entscheidung des Verwaltungsgerichts sind ausgeschlossen. Das gilt nicht für die Beschwerde gegen die Nichtzulassung der Revision nach § 135 in Verbindung mit § 133 der Verwaltungsgerichtsordnung und die Beschwerde gegen Beschlüsse über den Rechtsweg nach § 17a Abs. 2 und 3 des Gerichtsverfassungsgesetzes. Auf die Beschwerde gegen Beschlüsse über den Rechtsweg findet § 17a Abs. 4 Satz 4 bis 6 des Gerichtsverfassungsgesetzes entsprechende Anwendung.</w:t>
      </w:r>
    </w:p>
    <w:p>
      <w:r>
        <w:t xml:space="preserve">(2) (weggefallen)</w:t>
      </w:r>
    </w:p>
    <w:p>
      <w:r>
        <w:t xml:space="preserve">(3) Absatz 1 findet auch bei Verfahren über öffentlich-rechtliche Streitigkeiten zwischen dem Bund und anderen öffentlichen Rechtsträgern Anwendung.</w:t>
      </w:r>
    </w:p>
    <w:p>
      <w:r>
        <w:rPr>
          <w:color w:val="555555"/>
          <w:sz w:val="17"/>
        </w:rPr>
        <w:t xml:space="preserve">Zitiervorschlag: § 339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