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338 LAG — Anfechtungsklage beim Verwaltungsgericht</w:t>
      </w:r>
    </w:p>
    <w:p>
      <w:r>
        <w:rPr>
          <w:color w:val="555555"/>
          <w:sz w:val="18"/>
        </w:rPr>
        <w:t xml:space="preserve">Lastenausgleichsgesetz</w:t>
      </w:r>
    </w:p>
    <w:p>
      <w:r>
        <w:rPr>
          <w:color w:val="555555"/>
          <w:sz w:val="18"/>
        </w:rPr>
        <w:t xml:space="preserve">Stand: 10.06.2019 (konsolidierte Textfassung, kein amtliches Inkrafttretensdatum)</w:t>
      </w:r>
    </w:p>
    <w:p>
      <w:r>
        <w:t xml:space="preserve">Gegen den Beschluß des Beschwerdeausschusses sowie den Bescheid des Landesausgleichsamtes, sofern hiergegen keine Beschwerde zugelassen ist, oder des Bundesausgleichsamtes kann der Antragsteller binnen eines Monats nach Bekanntgabe die Anfechtungsklage beim Verwaltungsgericht erheben.</w:t>
      </w:r>
    </w:p>
    <w:p>
      <w:r>
        <w:rPr>
          <w:color w:val="555555"/>
          <w:sz w:val="17"/>
        </w:rPr>
        <w:t xml:space="preserve">Zitiervorschlag: § 338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