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335b LAG — Verfahren bei Schadensausgleich an Beteiligungen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In Fällen des § 349 Abs. 3 Satz 3 erteilt das nach § 31 Abs. 2 des Feststellungsgesetzes und § 33 Abs. 2 des Beweissicherungs- und Feststellungsgesetzes in der am 31. Dezember 1991 geltenden Fassung zuständige Ausgleichsamt einen einheitlichen Bescheid über die Höhe des Schadensausgleichs an der Beteiligung.</w:t>
      </w:r>
    </w:p>
    <w:p>
      <w:r>
        <w:t xml:space="preserve">(2) Hat das zuständige Ausgleichsamt nicht alle Beteiligten ermittelt, so ist der Bescheid den ermittelten Beteiligten zuzustellen und außerdem im Bundesanzeiger zu veröffentlichen. Die Veröffentlichung, die mit einer Belehrung über den Rechtsbehelf zu versehen ist, tritt für die nicht ermittelten Beteiligten an die Stelle des Bescheides.</w:t>
      </w:r>
    </w:p>
    <w:p>
      <w:r>
        <w:rPr>
          <w:color w:val="555555"/>
          <w:sz w:val="17"/>
        </w:rPr>
        <w:t xml:space="preserve">Zitiervorschlag: § 335b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