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332 LAG — Entscheidungen</w:t>
      </w:r>
    </w:p>
    <w:p>
      <w:r>
        <w:rPr>
          <w:color w:val="555555"/>
          <w:sz w:val="18"/>
        </w:rPr>
        <w:t xml:space="preserve">Lastenausgleichsgesetz</w:t>
      </w:r>
    </w:p>
    <w:p>
      <w:r>
        <w:rPr>
          <w:color w:val="555555"/>
          <w:sz w:val="18"/>
        </w:rPr>
        <w:t xml:space="preserve">Stand: 01.01.2025 (konsolidierte Textfassung, kein amtliches Inkrafttretensdatum)</w:t>
      </w:r>
    </w:p>
    <w:p>
      <w:r>
        <w:t xml:space="preserve">(1) Entscheidungen der Ausgleichsbehörden und der Beschwerdeausschüsse ergehen schriftlich und sind zu begründen. Sie müssen eine Belehrung darüber enthalten, ob ein Rechtsbehelf und welcher Rechtsbehelf gegeben ist.</w:t>
      </w:r>
    </w:p>
    <w:p>
      <w:r>
        <w:t xml:space="preserve">(2) Die Entscheidungen müssen die erlassende Ausgleichsbehörde erkennen lassen und die Unterschrift oder die Namenswiedergabe der für sie handelnden Person enthalten. Bei Entscheidungen, die mit Hilfe automatischer Vorrichtungen erlassen werden, können Unterschrift und Namenswiedergabe entfallen.</w:t>
      </w:r>
    </w:p>
    <w:p>
      <w:r>
        <w:t xml:space="preserve">(3) Die Entscheidungen sind den Antragstellern zuzustellen. Für das Zustellungsverfahren gelten die Vorschriften des Verwaltungszustellungsgesetzes. Die Zustellung der Entscheidungen kann durch einen verschlossen zugesandten einfachen Brief ersetzt werden. In welchen Fällen die Zustellung durch einfachen Brief erfolgen kann, bestimmt der Präsident des Bundesausgleichsamtes nach Maßgabe des § 319 Abs. 2. Eine Entscheidung, die durch die Post mittels einfachen Briefes im Geltungsbereich dieses Gesetzes übermittelt wird, gilt mit dem vierten Tage nach der Aufgabe zur Post als bekannt gegeben, außer wenn sie nicht oder zu einem späteren Zeitpunkt zugegangen ist; im Zweifel hat die Behörde den Zugang der Entscheidung und den Zeitpunkt des Zugangs nachzuweisen.</w:t>
      </w:r>
    </w:p>
    <w:p>
      <w:r>
        <w:t xml:space="preserve">(4) Vergleiche sind zulässig, wenn bei verständiger Würdigung des Sachverhalts oder der Rechtslage eine bestehende Ungewissheit durch gegenseitiges Nachgeben beseitigt wird und die Behörde den Abschluss des Vergleichs zur Beseitigung der Ungewissheit nach pflichtgemäßem Ermessen für zweckmäßig hält.</w:t>
      </w:r>
    </w:p>
    <w:p>
      <w:r>
        <w:rPr>
          <w:color w:val="555555"/>
          <w:sz w:val="17"/>
        </w:rPr>
        <w:t xml:space="preserve">Zitiervorschlag: § 332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https://recht.nulegal.eu/gesetze/LAG/332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