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329 LAG — Verbindung von Verfahren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Verfahren über die Gewährung von Ausgleichsleistungen, deren Gewährung von der Feststellung eines Schadens nach dem Feststellungsgesetz abhängt, soll mit dem Feststellungsverfahren verbunden werden.</w:t>
      </w:r>
    </w:p>
    <w:p>
      <w:r>
        <w:t xml:space="preserve">(2) Das Verfahren über die Rückforderung von Ausgleichsleistungen im Wege der Verrechnung nach § 8 des Entschädigungsgesetzes kann mit dem Entschädigungsverfahren zu einem Verfahren verbunden werden, wenn die Zuständigkeit für beide Verfahren bei demselben Land liegt.</w:t>
      </w:r>
    </w:p>
    <w:p>
      <w:r>
        <w:rPr>
          <w:color w:val="555555"/>
          <w:sz w:val="17"/>
        </w:rPr>
        <w:t xml:space="preserve">Zitiervorschlag: § 329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