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313 LAG — Zuständigkeitsübertragung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Zuständigkeit eines Landes für die Durchführung der in § 305 Absatz 1 genannten Vorschriften kann durch Vereinbarung der nach § 306 für die Errichtung von Ausgleichsämtern und Landesausgleichsämtern zuständigen Stelle mit dem Bundesausgleichsamt auf das Bundesausgleichsamt übertragen werden.</w:t>
      </w:r>
    </w:p>
    <w:p>
      <w:r>
        <w:t xml:space="preserve">(2) Der Umfang der übertragenen Zuständigkeit sowie der Zeitpunkt des Übergangs sind durch das Bundesausgleichsamt im Bundesanzeiger bekanntzumachen.</w:t>
      </w:r>
    </w:p>
    <w:p>
      <w:r>
        <w:t xml:space="preserve">(3) Wurde die Zuständigkeit dem Bundesausgleichsamt übertragen, sind insoweit die §§ 306, 308, 310 und 311 von dem jeweiligen Land nicht mehr anzuwenden.</w:t>
      </w:r>
    </w:p>
    <w:p>
      <w:r>
        <w:rPr>
          <w:color w:val="555555"/>
          <w:sz w:val="17"/>
        </w:rPr>
        <w:t xml:space="preserve">Zitiervorschlag: § 313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