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301a LAG — Leistungen an Sowjetzonenflüchtlinge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Härteleistungen nach § 301 sollen insbesondere auch Sowjetzonenflüchtlinge im Sinne des § 3 des Bundesvertriebenengesetzes und diesen nach § 4 des Bundesvertriebenengesetzes gleichgestellte Personen erhalten.</w:t>
      </w:r>
    </w:p>
    <w:p>
      <w:r>
        <w:t xml:space="preserve">(2) Die in Absatz 1 genannten Personen erhalten Beihilfen entsprechend den Voraussetzungen und Grundsätzen, die für die vergleichbaren Leistungen an Geschädigte im Sinne dieses Gesetzes gelten. Beihilfen für die Beschaffung von Hausrat werden, unbeschadet des § 296, in Höhe der Sätze des § 295 gewährt.</w:t>
      </w:r>
    </w:p>
    <w:p>
      <w:r>
        <w:t xml:space="preserve">(3) Nach näherer Maßgabe der in § 301 Abs. 4 vorgesehenen Rechtsverordnung wird an die in Absatz 1 genannten Personen besondere laufende Beihilfe nach den Grundsätzen der Entschädigungsrente gewährt. In der Rechtsverordnung ist zu regeln, wie der Umfang des Schadens zu ermitteln ist; dabei ist für Vermögensschäden von den Grundsätzen des Zweiten Abschnitts des Beweissicherungs- und Feststellungsgesetzes, für verlorene Einkünfte von den Grundsätzen des § 239 auszugehen. In der Rechtsverordnung kann auch</w:t>
      </w:r>
    </w:p>
    <w:p>
      <w:pPr>
        <w:ind w:left="420"/>
      </w:pPr>
      <w:r>
        <w:t xml:space="preserve">1. in Anlehnung an die Grundsätze des § 5 und des § 7 Abs. 5 des Beweissicherungs- und Feststellungsgesetzes bestimmt werden, daß nach dem 31. Dezember 1944 bezogene Einkünfte oder nach diesem Zeitpunkt erworbene Wirtschaftsgüter ganz oder teilweise unberücksichtigt bleiben,</w:t>
      </w:r>
    </w:p>
    <w:p>
      <w:pPr>
        <w:ind w:left="420"/>
      </w:pPr>
      <w:r>
        <w:t xml:space="preserve">2. die Umrechnung für nach dem 23. Juni 1948 bezogene Einkünfte geregelt werden.</w:t>
      </w:r>
    </w:p>
    <w:p>
      <w:r>
        <w:t xml:space="preserve">Ist die Ermittlung eines Grundbetrags erforderlich, so ist sie nach den Grundsätzen zu regeln, die für die Berechnung der Hauptentschädigung für Zonenschäden gelten.</w:t>
      </w:r>
    </w:p>
    <w:p>
      <w:r>
        <w:t xml:space="preserve">(4) § 301 Abs. 3 Satz 4 gilt entsprechend.</w:t>
      </w:r>
    </w:p>
    <w:p>
      <w:r>
        <w:rPr>
          <w:color w:val="555555"/>
          <w:sz w:val="17"/>
        </w:rPr>
        <w:t xml:space="preserve">Zitiervorschlag: § 301a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https://recht.nulegal.eu/gesetze/LAG/301a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