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300 LAG — Einsatz der Mittel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Mittel sind so einzusetzen, daß der Bau einer möglichst großen Zahl von Wohnungen für Geschädigte, welche die Voraussetzungen des § 298 erfüllen, erreicht wird. Geschädigte, die Vertreibungsschäden oder Kriegssachschäden der in § 12 Abs. 1 Nr. 1 und § 13 Abs. 1 Nr. 1 bezeichneten Art geltend machen können, die Erben solcher Geschädigten und Gemeinschaften von solchen Geschädigten haben als Bauherren bei der Darlehensgewährung den Vorrang vor den übrigen Antragstellern; unter den letzteren haben Geschädigte, die Vertreibungsschäden oder Kriegssachschäden geltend machen können, den Vorrang. Den vorgenannten Geschädigten sind die in § 298 Abs. 2 genannten Personen jeweils insoweit gleichgestellt, als sie gleichartige Schäden geltend machen können.</w:t>
      </w:r>
    </w:p>
    <w:p>
      <w:r>
        <w:rPr>
          <w:color w:val="555555"/>
          <w:sz w:val="17"/>
        </w:rPr>
        <w:t xml:space="preserve">Zitiervorschlag: § 300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https://recht.nulegal.eu/gesetze/LAG/300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