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LAG — Ausgleichsabgaben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Ausgleichsabgaben werden erhoben:</w:t>
      </w:r>
    </w:p>
    <w:p>
      <w:pPr>
        <w:ind w:left="420"/>
      </w:pPr>
      <w:r>
        <w:t xml:space="preserve">1. eine einmalige Vermögensabgabe (Vermögensabgabe) - §§ 16 bis 90 -,</w:t>
      </w:r>
    </w:p>
    <w:p>
      <w:pPr>
        <w:ind w:left="420"/>
      </w:pPr>
      <w:r>
        <w:t xml:space="preserve">2. eine Sonderabgabe auf Gewinne aus Schulden, für die Grundpfandrechte bestellt worden sind (Hypothekengewinnabgabe) - §§ 91 bis 160 -,</w:t>
      </w:r>
    </w:p>
    <w:p>
      <w:pPr>
        <w:ind w:left="420"/>
      </w:pPr>
      <w:r>
        <w:t xml:space="preserve">3. eine Sonderabgabe auf Schuldnergewinne gewerblicher Betriebe (Kreditgewinnabgabe) - §§ 161 bis 197 -.</w:t>
      </w:r>
    </w:p>
    <w:p>
      <w:r>
        <w:rPr>
          <w:color w:val="555555"/>
          <w:sz w:val="17"/>
        </w:rPr>
        <w:t xml:space="preserve">Zitiervorschlag: § 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