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299 LAG — Grundsätze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Wohnraumhilfe wird in der Weise gewährt, daß dem Geschädigten Gelegenheit zum Bezug einer Wohnung beschafft wird, deren Bereitstellung durch Darlehen des Ausgleichsfonds ermöglicht worden ist.</w:t>
      </w:r>
    </w:p>
    <w:p>
      <w:r>
        <w:t xml:space="preserve">(2) Die Darlehen sollen bevorzugt zur Bildung von Einzeleigentum für Geschädigte, besonders in der Form von Familienheimen, unter Beachtung der im Zweiten Wohnungsbaugesetz bestimmten Rangfolgen gewährt werden.</w:t>
      </w:r>
    </w:p>
    <w:p>
      <w:r>
        <w:rPr>
          <w:color w:val="555555"/>
          <w:sz w:val="17"/>
        </w:rPr>
        <w:t xml:space="preserve">Zitiervorschlag: § 299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