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298 LAG — Voraussetzungen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Wohnraumhilfe kann Vertriebenen und Kriegssachgeschädigten gewährt werden, wenn sie nachweisen,</w:t>
      </w:r>
    </w:p>
    <w:p>
      <w:pPr>
        <w:ind w:left="420"/>
      </w:pPr>
      <w:r>
        <w:t xml:space="preserve">1. daß sie durch die Schädigung den notwendigen Wohnraum verloren haben und</w:t>
      </w:r>
    </w:p>
    <w:p>
      <w:pPr>
        <w:ind w:left="780"/>
      </w:pPr>
      <w:r>
        <w:t xml:space="preserve">a) daß sie sich ausreichende Wohnmöglichkeit überhaupt noch nicht oder noch nicht an ihrem gegenwärtigen oder zukünftigen Arbeitsort beschaffen konnten oder</w:t>
      </w:r>
    </w:p>
    <w:p>
      <w:pPr>
        <w:ind w:left="780"/>
      </w:pPr>
      <w:r>
        <w:t xml:space="preserve">b) daß ihre bisherige Wohnung im Falle des Freiwerdens mit Einwilligung des Verfügungsberechtigten einem noch nicht ausreichend untergebrachten Geschädigten im Sinne des Buchstaben a zur Verfügung stehen wird.</w:t>
      </w:r>
    </w:p>
    <w:p>
      <w:r>
        <w:t xml:space="preserve">(2) Unter den Voraussetzungen des Absatzes 1 kann Wohnraumhilfe ferner Personen gewährt werden, die Leistungen nach den §§ 301, 301a erhalten können, Sowjetzonenflüchtlingen und Vertriebenen jedoch nur insoweit, als sie vor dem 1. Februar 1953 aufgenommen worden sind.</w:t>
      </w:r>
    </w:p>
    <w:p>
      <w:r>
        <w:rPr>
          <w:color w:val="555555"/>
          <w:sz w:val="17"/>
        </w:rPr>
        <w:t xml:space="preserve">Zitiervorschlag: § 298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