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292c LAG — Überleitungsvorschriften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292 Abs. 4 Satz 1 kann die Kriegsschadenrente übergeleitet werden</w:t>
      </w:r>
    </w:p>
    <w:p>
      <w:pPr>
        <w:ind w:left="420"/>
      </w:pPr>
      <w:r>
        <w:t xml:space="preserve">1. bei einem allein stehenden Berechtigten und bei gleichzeitig untergebrachten Ehegatten die Unterhaltshilfe in voller Höhe,</w:t>
      </w:r>
    </w:p>
    <w:p>
      <w:pPr>
        <w:ind w:left="420"/>
      </w:pPr>
      <w:r>
        <w:t xml:space="preserve">2. bei Unterbringung des Berechtigten oder seines am 31. Dezember 2005 nicht dauernd getrennt lebenden Ehegatten die Unterhaltshilfe bis zur Höhe der zu diesem Zeitpunkt für den Ehegatten nach § 269 Abs. 2, § 269a Abs. 3 und § 269b Abs. 2 Nr. 1 gewährten Zuschlagsbeträge,</w:t>
      </w:r>
    </w:p>
    <w:p>
      <w:pPr>
        <w:ind w:left="420"/>
      </w:pPr>
      <w:r>
        <w:t xml:space="preserve">3. in Höhe von 4 vom Hundert des Grundbetrags der zum 1. Januar 2006 festgesetzten Entschädigungsrente nach § 280 oder in Höhe der Hälfte des Auszahlungsbetrags der zum 1. Januar 2006 festgesetzten Entschädigungsrente nach § 284.</w:t>
      </w:r>
    </w:p>
    <w:p>
      <w:r>
        <w:rPr>
          <w:color w:val="555555"/>
          <w:sz w:val="17"/>
        </w:rPr>
        <w:t xml:space="preserve">Zitiervorschlag: § 292c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https://recht.nulegal.eu/gesetze/LAG/292c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