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292b LAG — Sterbegeld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Empfänger von Kriegsschadenrente und deren Ehegatten, die am 1. Januar 2006 an der Sterbevorsorge nach § 277 teilnehmen, wird im Falle ihres Todes ein Sterbegeld von je 750 Euro gewährt. Zu den entstehenden Kosten trägt der Unterhaltshilfeempfänger monatlich 2 Euro bei; dieser Betrag wird von den laufenden Zahlungen an Kriegsschadenrente einbehalten.</w:t>
      </w:r>
    </w:p>
    <w:p>
      <w:r>
        <w:t xml:space="preserve">(2) Im Übrigen gelten die Bestimmungen des § 277 Abs. 3, 5 und 6.</w:t>
      </w:r>
    </w:p>
    <w:p>
      <w:r>
        <w:rPr>
          <w:color w:val="555555"/>
          <w:sz w:val="17"/>
        </w:rPr>
        <w:t xml:space="preserve">Zitiervorschlag: § 292b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https://recht.nulegal.eu/gesetze/LAG/292b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