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282 LAG — Besondere Voraussetzungen der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Entschädigungsrente wird, wenn der Grundbetrag des Berechtigten den in § 280 Abs. 1 Satz 2 bezeichneten Betrag übersteigt, nur neben Unterhaltshilfe auf Lebenszeit gewährt; der Berechtigte kann vorbehaltlich des Absatzes 5 beantragen, daß ihm ausschließlich Entschädigungsrente gewährt wird.</w:t>
      </w:r>
    </w:p>
    <w:p>
      <w:r>
        <w:t xml:space="preserve">(2) Die Entschädigungsrente wird, falls der Grundbetrag des Berechtigten den in § 280 Abs. 1 Satz 2 bezeichneten Betrag nicht übersteigt, vorbehaltlich des Absatzes 5 nur gewährt, wenn der Berechtigte Unterhaltshilfe nicht beanspruchen kann oder nicht beansprucht.</w:t>
      </w:r>
    </w:p>
    <w:p>
      <w:r>
        <w:t xml:space="preserve">(3) Liegen dem Grundbetrag überwiegend Sparerschäden zugrunde, wird Entschädigungsrente allein nur gewährt, wenn der Grundbetrag die folgenden Mindestbeträge erreicht:</w:t>
      </w:r>
    </w:p>
    <w:p>
      <w:r>
        <w:rPr>
          <w:rFonts w:ascii="Courier New" w:hAnsi="Courier New"/>
          <w:sz w:val="17"/>
        </w:rPr>
        <w:t xml:space="preserve">Vollendetes Lebensalter des Berechtigten in dem Zeitpunkt, von dem ab erstmalig Entschädigungsrente gewährt wird    Mindestgrundbetrag</w:t>
      </w:r>
    </w:p>
    <w:p>
      <w:r>
        <w:rPr>
          <w:rFonts w:ascii="Courier New" w:hAnsi="Courier New"/>
          <w:sz w:val="17"/>
        </w:rPr>
        <w:t xml:space="preserve">80    1.533 EUR</w:t>
      </w:r>
    </w:p>
    <w:p>
      <w:r>
        <w:rPr>
          <w:rFonts w:ascii="Courier New" w:hAnsi="Courier New"/>
          <w:sz w:val="17"/>
        </w:rPr>
        <w:t xml:space="preserve">75    1.891 EUR</w:t>
      </w:r>
    </w:p>
    <w:p>
      <w:r>
        <w:rPr>
          <w:rFonts w:ascii="Courier New" w:hAnsi="Courier New"/>
          <w:sz w:val="17"/>
        </w:rPr>
        <w:t xml:space="preserve">70    2.249 EUR</w:t>
      </w:r>
    </w:p>
    <w:p>
      <w:r>
        <w:rPr>
          <w:rFonts w:ascii="Courier New" w:hAnsi="Courier New"/>
          <w:sz w:val="17"/>
        </w:rPr>
        <w:t xml:space="preserve">65    2.607 EUR</w:t>
      </w:r>
    </w:p>
    <w:p>
      <w:r>
        <w:rPr>
          <w:rFonts w:ascii="Courier New" w:hAnsi="Courier New"/>
          <w:sz w:val="17"/>
        </w:rPr>
        <w:t xml:space="preserve">unter 65    2.965 EUR.</w:t>
      </w:r>
    </w:p>
    <w:p>
      <w:r>
        <w:t xml:space="preserve">(4) Ist der Geschädigte nach dem 31. Dezember 1889 (eine Frau nach dem 31. Dezember 1894) und vor dem 1. Januar 1907 (eine Frau vor dem 1. Januar 1912) geboren, wird Entschädigungsrente gewährt, wenn für die Schäden des unmittelbar Geschädigten und seines nach § 266 Abs. 2 Satz 2 zu berücksichtigenden Ehegatten ein Anspruch auf Hauptentschädigung besteht; hierbei ist für die Berechnung der Höhe der Entschädigungsrente ausschließlich von dem für die Hauptentschädigung maßgebenden Endgrundbetrag auszugehen. § 273 Abs. 5 Nr. 2 Satz 2 gilt entsprechend. Die Sätze 1 und 2 gelten entsprechend, wenn der Geschädigte spätestens am 31. Dezember 1971 erwerbsunfähig im Sinne des § 265 Abs. 1 geworden ist und die Voraussetzungen des § 273 Abs. 5 Nr. 1 und 2 erfüllt.</w:t>
      </w:r>
    </w:p>
    <w:p>
      <w:r>
        <w:t xml:space="preserve">(5) Ist der Geschädigte nach dem 31. Dezember 1906 (eine Frau nach dem 31. Dezember 1911) geboren oder nach dem 31. Dezember 1971 erwerbsunfähig im Sinne des § 265 Abs. 1 geworden, wird Entschädigungsrente nach Maßgabe des Absatzes 4 neben laufender oder ruhender Unterhaltshilfe nach § 273 Abs. 7 gewährt.</w:t>
      </w:r>
    </w:p>
    <w:p>
      <w:r>
        <w:rPr>
          <w:color w:val="555555"/>
          <w:sz w:val="17"/>
        </w:rPr>
        <w:t xml:space="preserve">Zitiervorschlag: § 282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