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279 LAG — Einkommenshöchstbetrag</w:t>
      </w:r>
    </w:p>
    <w:p>
      <w:r>
        <w:rPr>
          <w:color w:val="555555"/>
          <w:sz w:val="18"/>
        </w:rPr>
        <w:t xml:space="preserve">Lastenausgleichsgesetz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Entschädigungsrente wird gewährt, wenn die Einkünfte des Berechtigten insgesamt 1.133 Deutsche Mark &lt;angepasst auf 659 Euro&gt; *) monatlich nicht übersteigen. Dieser Betrag erhöht sich</w:t>
      </w:r>
    </w:p>
    <w:p>
      <w:pPr>
        <w:ind w:left="420"/>
      </w:pPr>
      <w:r>
        <w:t xml:space="preserve">1. für den nicht dauernd von dem Berechtigten getrennt lebenden Ehegatten um 701 Deutsche Mark &lt;angepasst auf 415 Euro&gt; *) monatlich,</w:t>
      </w:r>
    </w:p>
    <w:p>
      <w:pPr>
        <w:ind w:left="420"/>
      </w:pPr>
      <w:r>
        <w:t xml:space="preserve">2. für jedes Kind im Sinne des § 267 Abs. 1 Nr. 2 um 260 Deutsche Mark &lt;angepasst auf 157 Euro&gt; *) monatlich,</w:t>
      </w:r>
    </w:p>
    <w:p>
      <w:pPr>
        <w:ind w:left="420"/>
      </w:pPr>
      <w:r>
        <w:t xml:space="preserve">3. für Pflegebedürftige im Sinne des § 267 Abs. 1 Satz 3 bis 6 um die Pflegezulage,</w:t>
      </w:r>
    </w:p>
    <w:p>
      <w:pPr>
        <w:ind w:left="420"/>
      </w:pPr>
      <w:r>
        <w:t xml:space="preserve">4. für ehemals Selbständige im Sinne des § 269a um den Selbständigenzuschlag.</w:t>
      </w:r>
    </w:p>
    <w:p>
      <w:r>
        <w:t xml:space="preserve">Bei unmittelbar geschädigten Vollwaisen im Sinne des § 265 Abs. 3 beträgt der Einkommenshöchstbetrag 475 Deutsche Mark &lt;angepasst auf 282 Euro&gt; *) monatlich. Wird der Berechnung der Entschädigungsrente der Grundbetrag der Hauptentschädigung zugrunde gelegt, erhöht sich der Einkommenshöchstbetrag für den Berechtigten auf 1.363 Deutsche Mark &lt;angepasst auf 777 Euro&gt; *) monatlich und für eine Vollwaise auf 590 Deutsche Mark &lt;angepasst auf 341 Euro&gt; *) monatlich sowie der Erhöhungsbetrag für den Ehegatten auf 756 Deutsche Mark &lt;angepasst auf 443 Euro&gt; *) monatlich und für jedes Kind auf 311 Deutsche Mark &lt;angepasst auf 183 Euro&gt; *) monatlich. Für Kinder, die das siebente und für Vollwaisen, die das 15. Lebensjahr vollendet haben, erhöhen sich die für sie in den Sätzen 2 bis 4 bestimmten Beträge um den Sozialzuschlag nach § 269b Abs. 2 Nr. 2 oder § 275 Abs. 1 Satz 3.</w:t>
      </w:r>
    </w:p>
    <w:p>
      <w:r>
        <w:t xml:space="preserve">(2) Für die Berechnung der Einkünfte gilt § 267 Abs. 2 und 3. Der letzte Satz des § 267 Abs. 2 (Kürzung der Freibeträge um den Sozialzuschlag) ist nicht anzuwenden.</w:t>
      </w:r>
    </w:p>
    <w:p>
      <w:r>
        <w:t xml:space="preserve">(3) Die Sätze des Einkommenshöchstbetrages nach Absatz 1 sind jeweils durch Rechtsverordnung um die Beträge anzupassen, um die sich die Sätze der Unterhaltshilfe einschließlich des Sozialzuschlags durch Anpassung nach § 277a verändern.</w:t>
      </w:r>
    </w:p>
    <w:p>
      <w:r>
        <w:rPr>
          <w:color w:val="555555"/>
          <w:sz w:val="17"/>
        </w:rPr>
        <w:t xml:space="preserve">Zitiervorschlag: § 279 LAG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https://recht.nulegal.eu/gesetze/LAG/279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