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275 LAG — Unterhaltshilfe für Vollwaisen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Unmittelbar geschädigte Vollwaisen im Sinne des § 265 Abs. 2 erhalten Unterhaltshilfe auf Zeit nach den Vorschriften dieses Abschnitts. An die Stelle des in § 267 Abs. 1 und in § 269 Abs. 1 bestimmten Betrags tritt ein Satz von monatlich 410 Deutsche Mark &lt;angepasst auf 249 Euro&gt; *). § 269b ist nur auf Vollwaisen anzuwenden, die das 15. Lebensjahr vollendet haben; als Sozialzuschlag ist ein Betrag von 60 Deutsche Mark &lt;angepasst auf 36 Euro&gt; *) monatlich anzusetzen.</w:t>
      </w:r>
    </w:p>
    <w:p>
      <w:r>
        <w:t xml:space="preserve">(2) Die Gewährung der Unterhaltshilfe endet mit dem Ende des Monats, in dem die Voraussetzungen des § 265 Abs. 2 Satz 3 Nr. 1 und 2 wegfallen, sofern sich nicht aus § 273 Abs. 2 ein früherer Zeitpunkt ergibt.</w:t>
      </w:r>
    </w:p>
    <w:p>
      <w:r>
        <w:rPr>
          <w:color w:val="555555"/>
          <w:sz w:val="17"/>
        </w:rPr>
        <w:t xml:space="preserve">Zitiervorschlag: § 275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