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262 LAG — Übertragbarkeit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Kriegsschadenrente kann, soweit in diesem Abschnitt nichts anderes bestimmt ist, nicht übertragen, nicht gepfändet und nicht verpfändet werden; dies gilt, vorbehaltlich der §§ 290 und 350a, nicht für Beträge, die für einen in der Vergangenheit liegenden Zeitraum rechtskräftig bewilligt worden sind.</w:t>
      </w:r>
    </w:p>
    <w:p>
      <w:r>
        <w:rPr>
          <w:color w:val="555555"/>
          <w:sz w:val="17"/>
        </w:rPr>
        <w:t xml:space="preserve">Zitiervorschlag: § 262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