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249b LAG — Besonderheiten der Grundbetragsberechnung beim Zusammentreffen von Zonenschäden mit Schäden im Sinne des Reparationsschädengesetzes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einem unmittelbar Geschädigten sowohl Zonenschäden als auch Schäden im Sinne des Reparationsschädengesetzes entstanden, gilt folgendes:</w:t>
      </w:r>
    </w:p>
    <w:p>
      <w:pPr>
        <w:ind w:left="420"/>
      </w:pPr>
      <w:r>
        <w:t xml:space="preserve">1. Dem Schadensbetrag nach § 245 ist der Schadensbetrag nach § 32 Abs. 1 des Reparationsschädengesetzes hinzuzurechnen und § 246 auf den zusammengerechneten Schadensbetrag anzuwenden.</w:t>
      </w:r>
    </w:p>
    <w:p>
      <w:pPr>
        <w:ind w:left="420"/>
      </w:pPr>
      <w:r>
        <w:t xml:space="preserve">2. Auf den Grundbetrag nach Nummer 1 ist § 249 Abs. 1 anzuwenden. Von dem danach verbleibenden Grundbetrag ist vor Anwendung der §§ 247, 248, 249 Abs. 2 und 3 sowie der §§ 249a und 250 abzuziehen,</w:t>
      </w:r>
    </w:p>
    <w:p>
      <w:pPr>
        <w:ind w:left="780"/>
      </w:pPr>
      <w:r>
        <w:t xml:space="preserve">a) wenn mit Schäden im Sinne des Reparationsschädengesetzes nur Zonenschäden zusammentreffen, der nach Anwendung des § 35 Abs. 1 Nr. 1 des Reparationsschädengesetzes sich ergebende Grundbetrag,</w:t>
      </w:r>
    </w:p>
    <w:p>
      <w:pPr>
        <w:ind w:left="780"/>
      </w:pPr>
      <w:r>
        <w:t xml:space="preserve">b) wenn mit Schäden im Sinne des Reparationsschädengesetzes sowohl Zonenschäden als auch Vertreibungsschäden, Kriegssachschäden und Ostschäden zusammentreffen, der nach Anwendung des § 35 Abs. 1 Nr. 1 und 2 in Verbindung mit § 36a des Reparationsschädengesetzes sich ergebende Grundbetrag.</w:t>
      </w:r>
    </w:p>
    <w:p>
      <w:pPr>
        <w:ind w:left="420"/>
      </w:pPr>
      <w:r>
        <w:t xml:space="preserve">3. Sind Schäden an Sparanlagen sowohl im Sinne des Reparationsschädengesetzes als auch im Sinne dieses Gesetzes entstanden, ist § 249a auf alle Schäden an Sparanlagen anzuwenden und von dem hiernach berechneten Sparerzuschlag der Sparerzuschlag nach § 36 des Reparationsschädengesetzes abzuziehen.</w:t>
      </w:r>
    </w:p>
    <w:p>
      <w:r>
        <w:rPr>
          <w:color w:val="555555"/>
          <w:sz w:val="17"/>
        </w:rPr>
        <w:t xml:space="preserve">Zitiervorschlag: § 249b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https://recht.nulegal.eu/gesetze/LAG/249b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