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248 LAG — Zuschlag zum Grundbetrag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für den Geschädigten nach den §§ 246, 247 sich ergebende Grundbetrag erhöht sich um 10 vom Hundert für</w:t>
      </w:r>
    </w:p>
    <w:p>
      <w:pPr>
        <w:ind w:left="420"/>
      </w:pPr>
      <w:r>
        <w:t xml:space="preserve">1. Heimatvertriebene im Sinne des § 2 des Bundesvertriebenengesetzes,</w:t>
      </w:r>
    </w:p>
    <w:p>
      <w:pPr>
        <w:ind w:left="420"/>
      </w:pPr>
      <w:r>
        <w:t xml:space="preserve">2. Sowjetzonenflüchtlinge im Sinne des § 3 des Bundesvertriebenengesetzes und diesen nach § 4 des Bundesvertriebenengesetzes gleichgestellte Personen; bei Anwendung des § 4 Abs. 2 in Verbindung mit § 1 Abs. 2 Nr. 1 des Bundesvertriebenengesetzes gelten die Voraussetzungen einer Gefährdung im Sinne des § 4 Abs. 1 des Bundesvertriebenengesetzes als erfüllt.</w:t>
      </w:r>
    </w:p>
    <w:p>
      <w:pPr>
        <w:ind w:left="420"/>
      </w:pPr>
      <w:r>
        <w:t xml:space="preserve">3. Kriegssachgeschädigte, die bis zum 1. April 1952 in den Stadt- oder Landkreis, in dem sie zur Zeit der Schädigung wohnten, nicht zurückkehren konnten und bis zu diesem Zeitpunkt an ihrem neuen Wohnsitz eine angemessene Lebensgrundlage nicht wieder haben finden können.</w:t>
      </w:r>
    </w:p>
    <w:p>
      <w:r>
        <w:rPr>
          <w:color w:val="555555"/>
          <w:sz w:val="17"/>
        </w:rPr>
        <w:t xml:space="preserve">Zitiervorschlag: § 248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