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243 LAG — Voraussetzungen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Hauptentschädigung wird gewährt zur Abgeltung von</w:t>
      </w:r>
    </w:p>
    <w:p>
      <w:pPr>
        <w:ind w:left="420"/>
      </w:pPr>
      <w:r>
        <w:t xml:space="preserve">1. Vertreibungsschäden, Kriegssachschäden und Ostschäden an Wirtschaftsgütern, die zum land- und forstwirtschaftlichen Vermögen, zum Grundvermögen oder zum Betriebsvermögen im Sinne des Bewertungsgesetzes gehören, sowie an Gegenständen, die für die Berufsausübung oder für die wissenschaftliche Forschung erforderlich sind,</w:t>
      </w:r>
    </w:p>
    <w:p>
      <w:pPr>
        <w:ind w:left="420"/>
      </w:pPr>
      <w:r>
        <w:t xml:space="preserve">2. Vertreibungsschäden und Ostschäden an Reichsmarkspareinlagen, an anderen privatrechtlichen geldwerten Ansprüchen, an Gewerbeberechtigungen im Sinne des Bewertungsgesetzes sowie an Anteilen an Kapitalgesellschaften und an Geschäftsguthaben bei Erwerbs- und Wirtschaftsgenossenschaften, soweit es sich nicht um Reichsmarkspareinlagen handelt, aus denen Entschädigung im Währungsausgleich für Sparguthaben Vertriebener gewährt wird,</w:t>
      </w:r>
    </w:p>
    <w:p>
      <w:pPr>
        <w:ind w:left="420"/>
      </w:pPr>
      <w:r>
        <w:t xml:space="preserve">3. Vertreibungsschaden an literarischen und künstlerischen Urheberrechten, an gewerblichen Schutzrechten und ungeschützten Erfindungen sowie an Lizenzen an solchen Rechten und Erfindungen,</w:t>
      </w:r>
    </w:p>
    <w:p>
      <w:pPr>
        <w:ind w:left="420"/>
      </w:pPr>
      <w:r>
        <w:t xml:space="preserve">4. Zonenschäden.</w:t>
      </w:r>
    </w:p>
    <w:p>
      <w:r>
        <w:rPr>
          <w:color w:val="555555"/>
          <w:sz w:val="17"/>
        </w:rPr>
        <w:t xml:space="preserve">Zitiervorschlag: § 243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