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232 LAG — Ausgleichsleistungen mit Rechtsanspruch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Ausgleichsleistungen mit Rechtsanspruch werden gewährt</w:t>
      </w:r>
    </w:p>
    <w:p>
      <w:pPr>
        <w:ind w:left="420"/>
      </w:pPr>
      <w:r>
        <w:t xml:space="preserve">1. Hauptentschädigung (§§ 243 bis 252),</w:t>
      </w:r>
    </w:p>
    <w:p>
      <w:pPr>
        <w:ind w:left="420"/>
      </w:pPr>
      <w:r>
        <w:t xml:space="preserve">2. Kriegsschadenrente (§§ 261 bis 292c),</w:t>
      </w:r>
    </w:p>
    <w:p>
      <w:pPr>
        <w:ind w:left="420"/>
      </w:pPr>
      <w:r>
        <w:t xml:space="preserve">3. Hausratentschädigung (§§ 293 bis 297),</w:t>
      </w:r>
    </w:p>
    <w:p>
      <w:pPr>
        <w:ind w:left="420"/>
      </w:pPr>
      <w:r>
        <w:t xml:space="preserve">4. Entschädigung im Währungsausgleich für Sparguthaben Vertriebener (§ 304),</w:t>
      </w:r>
    </w:p>
    <w:p>
      <w:pPr>
        <w:ind w:left="420"/>
      </w:pPr>
      <w:r>
        <w:t xml:space="preserve">5. Entschädigung nach dem Altsparergesetz.</w:t>
      </w:r>
    </w:p>
    <w:p>
      <w:r>
        <w:t xml:space="preserve">(2) Der Rechtsanspruch gilt als mit dem 1. April 1952 in der Person des Geschädigten (§ 229) entstanden; in den Fällen des Absatzes 1 Nr. 4 und 5 gelten insoweit die entsprechenden Vorschriften des Währungsausgleichsgesetzes und des Altsparergesetzes.</w:t>
      </w:r>
    </w:p>
    <w:p>
      <w:r>
        <w:rPr>
          <w:color w:val="555555"/>
          <w:sz w:val="17"/>
        </w:rPr>
        <w:t xml:space="preserve">Zitiervorschlag: § 232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