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15a LAG — Zonenschäden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Zonenschaden im Sinne dieses Gesetzes ist ein Vermögensschaden, der im Schadensgebiet (§ 3 Abs. 1 des Beweissicherungs- und Feststellungsgesetzes) entstanden ist</w:t>
      </w:r>
    </w:p>
    <w:p>
      <w:pPr>
        <w:ind w:left="420"/>
      </w:pPr>
      <w:r>
        <w:t xml:space="preserve">1. als Schaden im Sinne des § 3 Abs. 1 Nr. 1 des Beweissicherungs- und Feststellungsgesetzes,</w:t>
      </w:r>
    </w:p>
    <w:p>
      <w:pPr>
        <w:ind w:left="420"/>
      </w:pPr>
      <w:r>
        <w:t xml:space="preserve">2. als Schaden, der nach den Vorschriften des Reparationsschädengesetzes berücksichtigt werden könnte, wenn dem die gebietlichen Beschränkungen des § 12 des Reparationsschädengesetzes nicht entgegenstünden,</w:t>
      </w:r>
    </w:p>
    <w:p>
      <w:pPr>
        <w:ind w:left="420"/>
      </w:pPr>
      <w:r>
        <w:t xml:space="preserve">3. als Kriegssachschaden im Sinne des § 13, der nach den Vorschriften des Feststellungsgesetzes festgestellt werden könnte, wenn er im Geltungsbereich dieses Gesetzes eingetreten wäre,</w:t>
      </w:r>
    </w:p>
    <w:p>
      <w:pPr>
        <w:ind w:left="420"/>
      </w:pPr>
      <w:r>
        <w:t xml:space="preserve">4. als Schaden eines Verfolgten durch Entziehung auf Grund von Maßnahmen der nationalsozialistischen Gewaltherrschaft.</w:t>
      </w:r>
    </w:p>
    <w:p>
      <w:r>
        <w:t xml:space="preserve">(2) Ein Schaden muß entstanden sein</w:t>
      </w:r>
    </w:p>
    <w:p>
      <w:pPr>
        <w:ind w:left="420"/>
      </w:pPr>
      <w:r>
        <w:t xml:space="preserve">1. an Wirtschaftsgütern, die zum land- und forstwirtschaftlichen Vermögen, zum Grundvermögen oder zum Betriebsvermögen im Sinne des Bewertungsgesetzes gehören,</w:t>
      </w:r>
    </w:p>
    <w:p>
      <w:pPr>
        <w:ind w:left="420"/>
      </w:pPr>
      <w:r>
        <w:t xml:space="preserve">2. an folgenden Wirtschaftsgütern, soweit sie nicht unter Nummer 1 fallen:</w:t>
      </w:r>
    </w:p>
    <w:p>
      <w:pPr>
        <w:ind w:left="780"/>
      </w:pPr>
      <w:r>
        <w:t xml:space="preserve">a) an Gegenständen, die für die Berufsausübung oder für die wissenschaftliche Forschung erforderlich sind, sowie an diesen nach § 15 Abs. 2 des Feststellungsgesetzes und der Dreizehnten Verordnung zur Durchführung des Feststellungsgesetzes vom 8. November 1960 (Bundesgesetzbl. I S. 838) gleichgestellten eigenen Erzeugnissen,</w:t>
      </w:r>
    </w:p>
    <w:p>
      <w:pPr>
        <w:ind w:left="780"/>
      </w:pPr>
      <w:r>
        <w:t xml:space="preserve">b) an privatrechtlichen geldwerten Ansprüchen, sofern ihre Bewertung nach §§ 4, 5 Abs. 1 und § 8 des Bewertungsgesetzes zulässig war,</w:t>
      </w:r>
    </w:p>
    <w:p>
      <w:pPr>
        <w:ind w:left="780"/>
      </w:pPr>
      <w:r>
        <w:t xml:space="preserve">c) an Anteilen an Kapitalgesellschaften oder an Geschäftsguthaben der Mitglieder von Genossenschaften,</w:t>
      </w:r>
    </w:p>
    <w:p>
      <w:pPr>
        <w:ind w:left="780"/>
      </w:pPr>
      <w:r>
        <w:t xml:space="preserve">d) an Gewerbeberechtigungen im Sinne des Bewertungsgesetzes,</w:t>
      </w:r>
    </w:p>
    <w:p>
      <w:pPr>
        <w:ind w:left="780"/>
      </w:pPr>
      <w:r>
        <w:t xml:space="preserve">e) an literarischen und künstlerischen Urheberrechten, an gewerblichen Schutzrechten und ungeschützten Erfindungen sowie an Lizenzen an solchen Rechten und Erfindungen, soweit diese im Schadensgebiet nach dem Eintritt des Schadens verwertet worden sind.</w:t>
      </w:r>
    </w:p>
    <w:p>
      <w:r>
        <w:t xml:space="preserve">(3) War an einem Wirtschaftsgut im Sinne des Absatzes 2 ein Schaden entstanden, so ist bei einem späteren Erwerber dieses Wirtschaftsguts oder dessen Erben oder weiteren Erben, soweit es sich nicht um einen Tausch handelt, als Schaden nur zu berücksichtigen</w:t>
      </w:r>
    </w:p>
    <w:p>
      <w:pPr>
        <w:ind w:left="420"/>
      </w:pPr>
      <w:r>
        <w:t xml:space="preserve">1. ein tatsächlich entrichteter, nicht in der Übernahme von Verbindlichkeiten bestehender Kaufpreis als Schaden an einem privatrechtlichen geldwerten Anspruch,</w:t>
      </w:r>
    </w:p>
    <w:p>
      <w:pPr>
        <w:ind w:left="420"/>
      </w:pPr>
      <w:r>
        <w:t xml:space="preserve">2. die durch die Aufwendung eigener Mittel entstandene Wertsteigerung des erworbenen Wirtschaftsguts als Schaden am Wirtschaftsgut.</w:t>
      </w:r>
    </w:p>
    <w:p>
      <w:r>
        <w:t xml:space="preserve">(4) Ein Schaden, der am Vermögen eines im Schadensgebiet Verstorbenen entstanden ist, gilt,</w:t>
      </w:r>
    </w:p>
    <w:p>
      <w:pPr>
        <w:ind w:left="420"/>
      </w:pPr>
      <w:r>
        <w:t xml:space="preserve">1. soweit er im Zeitpunkt des Todes bereits eingetreten war, als Zonenschaden des Verstorbenen,</w:t>
      </w:r>
    </w:p>
    <w:p>
      <w:pPr>
        <w:ind w:left="420"/>
      </w:pPr>
      <w:r>
        <w:t xml:space="preserve">2. im übrigen nach Maßgabe der Erbteile als Zonenschaden der Erben.</w:t>
      </w:r>
    </w:p>
    <w:p>
      <w:r>
        <w:rPr>
          <w:color w:val="555555"/>
          <w:sz w:val="17"/>
        </w:rPr>
        <w:t xml:space="preserve">Zitiervorschlag: § 15a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https://recht.nulegal.eu/gesetze/LAG/15a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