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LAG — Ostschäden</w:t>
      </w:r>
    </w:p>
    <w:p>
      <w:r>
        <w:rPr>
          <w:color w:val="555555"/>
          <w:sz w:val="18"/>
        </w:rPr>
        <w:t xml:space="preserve">Lastenausgleichsgesetz</w:t>
      </w:r>
    </w:p>
    <w:p>
      <w:r>
        <w:rPr>
          <w:color w:val="555555"/>
          <w:sz w:val="18"/>
        </w:rPr>
        <w:t xml:space="preserve">Stand: 10.06.2019 (konsolidierte Textfassung, kein amtliches Inkrafttretensdatum)</w:t>
      </w:r>
    </w:p>
    <w:p>
      <w:r>
        <w:t xml:space="preserve">(1) Ein Ostschaden im Sinne dieses Gesetzes ist ein Schaden, der in den zur Zeit unter fremder Verwaltung stehenden deutschen Ostgebieten im Zusammenhang mit den Ereignissen des zweiten Weltkriegs durch Vermögensentziehung oder als Kriegssachschaden (§ 13) an Wirtschaftsgütern der in § 12 Abs. 1 Nr. 1, Nr. 2 Buchstaben a bis f und Nr. 4 genannten Art entstanden ist, sofern es sich nicht um einen Vertreibungsschaden handelt. Als Ostschaden gilt ein Schaden, der dadurch entstanden ist, daß den Erben bei Todesfällen, die vor dem 1. Januar 1969 eingetreten sind, in den unter fremder Verwaltung stehenden deutschen Ostgebieten das Erbrecht an Wirtschaftsgütern der in Satz 1 bezeichneten Art, die dem Erblasser nicht weggenommen waren, versagt oder der Erbantritt insoweit verwehrt wird. In den Fällen des Satzes 2 liegt jedoch ein Schaden nicht vor, soweit auf Grund späterer rechtsgeschäftlicher Erklärungen der Erbanteil auf einen Miterben übertragen worden ist; werden die übertragenen Wirtschaftsgüter dem Miterben oder seinen Erben weggenommen, liegt ein Schaden in deren Person vor. Bei Schäden der in § 12 Abs. 1 Nr. 2 Buchstabe c und d bezeichneten Art muß der Schuldner, bei Schäden der in § 12 Abs. 1 Nr. 2 Buchstabe e bezeichneten Art die Kapitalgesellschaft oder die Erwerbs- und Wirtschaftsgenossenschaft bei Beginn der allgemeinen Vertreibungsmaßnahmen den Wohnsitz oder den Sitz (bei Geldinstituten: die Haupt- oder Zweigniederlassung) in den zur Zeit unter fremder Verwaltung stehenden deutschen Ostgebieten gehabt haben; bei dinglich gesicherten Ansprüchen gilt § 12 Abs. 2 Nr. 2, bei Geldeinlagen bei einem Geldinstitut § 12 Abs. 9 und bei Anteilen an einer Gesellschaft oder Genossenschaft § 12 Abs. 10 sinngemäß. § 12 Abs. 12 und 13 ist entsprechend anzuwenden.</w:t>
      </w:r>
    </w:p>
    <w:p>
      <w:r>
        <w:t xml:space="preserve">(2) Verluste an Schiffen, die in einem Schiffsregister in den Ostgebieten eingetragen waren, gelten als in den Ostgebieten entstanden.</w:t>
      </w:r>
    </w:p>
    <w:p>
      <w:r>
        <w:t xml:space="preserve">(3) Der Ostschaden gilt als am 8. Mai 1945, in den Fällen des Absatzes 1 Satz 2 als im Zeitpunkt des Todes des Erblassers eingetreten.</w:t>
      </w:r>
    </w:p>
    <w:p>
      <w:r>
        <w:rPr>
          <w:color w:val="555555"/>
          <w:sz w:val="17"/>
        </w:rPr>
        <w:t xml:space="preserve">Zitiervorschlag: § 14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