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LAGÄndG 4</w:t>
      </w:r>
    </w:p>
    <w:p>
      <w:r>
        <w:rPr>
          <w:color w:val="555555"/>
          <w:sz w:val="18"/>
        </w:rPr>
        <w:t xml:space="preserve">Viertes Gesetz zur Änderung des Lastenausgleichsgesetzes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Leistungen aus dem Härtefonds (§ 301 LAG) an Personen gewährt worden sind, die nach dem Lastenausgleichsgesetz in der Fassung dieses Gesetzes Schäden geltend machen können, gilt folgendes:</w:t>
      </w:r>
    </w:p>
    <w:p>
      <w:pPr>
        <w:ind w:left="420"/>
      </w:pPr>
      <w:r>
        <w:t xml:space="preserve">1. Beihilfen zum Lebensunterhalt gelten als Unterhaltshilfeleistungen und werden auf die Unterhaltshilfe angerechnet; § 273 Abs. 2 Satz 1 und § 278 Abs. 2 des Lastenausgleichsgesetzes sind auf diese Leistungen anzuwenden.</w:t>
      </w:r>
    </w:p>
    <w:p>
      <w:pPr>
        <w:ind w:left="420"/>
      </w:pPr>
      <w:r>
        <w:t xml:space="preserve">2. Beihilfen zur Beschaffung von Hausrat gelten als Leistungen der Hausrathilfe nach § 297 Abs. 2 des Lastenausgleichsgesetzes.</w:t>
      </w:r>
    </w:p>
    <w:p>
      <w:pPr>
        <w:ind w:left="420"/>
      </w:pPr>
      <w:r>
        <w:t xml:space="preserve">3. Aus dem Härtefonds gewährte Aufbaudarlehen gelten für die Anwendung des § 258 des Lastenausgleichsgesetzes als Aufbaudarlehen nach § 254 des Lastenausgleichsgesetzes.</w:t>
      </w:r>
    </w:p>
    <w:p>
      <w:r>
        <w:rPr>
          <w:color w:val="555555"/>
          <w:sz w:val="17"/>
        </w:rPr>
        <w:t xml:space="preserve">Zitiervorschlag: § 2 LAGÄndG 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https://recht.nulegal.eu/gesetze/LAG%C3%84ndG%204/2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