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LAGÄndG 4</w:t>
      </w:r>
    </w:p>
    <w:p>
      <w:r>
        <w:rPr>
          <w:color w:val="555555"/>
          <w:sz w:val="18"/>
        </w:rPr>
        <w:t xml:space="preserve">Viertes Gesetz zur Änderung des Lastenausgleichsgesetzes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Antrag auf Gewährung von Kriegsschadenrente bis zum 31. Dezember 1955 gestellt, wird Kriegsschadenrente abweichend von § 287 des Lastenausgleichsgesetzes bei Vorliegen der sonstigen Voraussetzungen in folgenden Fällen rückwirkend gewährt:</w:t>
      </w:r>
    </w:p>
    <w:p>
      <w:pPr>
        <w:ind w:left="420"/>
      </w:pPr>
      <w:r>
        <w:t xml:space="preserve">1. bei Personen, die auf Grund dieses Gesetzes zur Geltendmachung von Schäden erstmalig berechtigt sind, mit Wirkung vom 1. April 1952 ab,</w:t>
      </w:r>
    </w:p>
    <w:p>
      <w:pPr>
        <w:ind w:left="420"/>
      </w:pPr>
      <w:r>
        <w:t xml:space="preserve">2. bei Personen, die wegen Überschreitens des Einkommenshöchstbetrages nach § 267 des Lastenausgleichsgesetzes Unterhaltshilfe bisher nicht erhalten haben, mit Wirkung vom 1. Juli 1954 ab,</w:t>
      </w:r>
    </w:p>
    <w:p>
      <w:pPr>
        <w:ind w:left="420"/>
      </w:pPr>
      <w:r>
        <w:t xml:space="preserve">3. bei Personen, die wegen Überschreitens des Einkommenshöchstbetrages nach § 279 des Lastenausgleichsgesetzes Entschädigungsrente bisher nicht erhalten konnten, mit Wirkung vom 1. April 1952 ab,</w:t>
      </w:r>
    </w:p>
    <w:p>
      <w:r>
        <w:t xml:space="preserve">frühestens jedoch von dem Ersten des Monats ab, in dem die Voraussetzungen für die Gewährung von Kriegsschadenrente eingetreten sind.</w:t>
      </w:r>
    </w:p>
    <w:p>
      <w:r>
        <w:rPr>
          <w:color w:val="555555"/>
          <w:sz w:val="17"/>
        </w:rPr>
        <w:t xml:space="preserve">Zitiervorschlag: § 1 LAGÄndG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https://recht.nulegal.eu/gesetze/LAG%C3%84ndG%204/1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