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LAGÄndG 11 — Inkrafttreten</w:t>
      </w:r>
    </w:p>
    <w:p>
      <w:r>
        <w:rPr>
          <w:color w:val="555555"/>
          <w:sz w:val="18"/>
        </w:rPr>
        <w:t xml:space="preserve">Elftes Gesetz zur Änderung des Lastenausgleichsgesetzes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am Tage nach seiner Verkündung in Kraft. Die Vorschriften der §§ 1 bis 3 sind, vorbehaltlich des Absatzes 2, mit Wirkung vom Inkrafttreten des Lastenausgleichsgesetzes (§ 375) ab, die Vorschriften der §§ 4 und 5 vom Inkrafttreten des Bundesvertriebenengesetzes und des Allgemeinen Kriegsfolgengesetzes ab anzuwenden.</w:t>
      </w:r>
    </w:p>
    <w:p>
      <w:r>
        <w:t xml:space="preserve">(2) Die folgenden Vorschriften des § 1 sind mit Wirkung vom 1. Juni 1959 ab anzuwenden:</w:t>
      </w:r>
    </w:p>
    <w:p>
      <w:r>
        <w:rPr>
          <w:rFonts w:ascii="Courier New" w:hAnsi="Courier New"/>
          <w:sz w:val="17"/>
        </w:rPr>
        <w:t xml:space="preserve">Nummer 8    (§ 265 LAG),</w:t>
      </w:r>
    </w:p>
    <w:p>
      <w:r>
        <w:rPr>
          <w:rFonts w:ascii="Courier New" w:hAnsi="Courier New"/>
          <w:sz w:val="17"/>
        </w:rPr>
        <w:t xml:space="preserve">Nummer 9    Buchstaben a bis c (§ 267 Abs. 1 und 2 LAG),</w:t>
      </w:r>
    </w:p>
    <w:p>
      <w:r>
        <w:rPr>
          <w:rFonts w:ascii="Courier New" w:hAnsi="Courier New"/>
          <w:sz w:val="17"/>
        </w:rPr>
        <w:t xml:space="preserve">Nummer 10    (§ 268 LAG),</w:t>
      </w:r>
    </w:p>
    <w:p>
      <w:r>
        <w:rPr>
          <w:rFonts w:ascii="Courier New" w:hAnsi="Courier New"/>
          <w:sz w:val="17"/>
        </w:rPr>
        <w:t xml:space="preserve">Nummer 11    (§ 269 LAG),</w:t>
      </w:r>
    </w:p>
    <w:p>
      <w:r>
        <w:rPr>
          <w:rFonts w:ascii="Courier New" w:hAnsi="Courier New"/>
          <w:sz w:val="17"/>
        </w:rPr>
        <w:t xml:space="preserve">Nummer 12    (§ 273 LAG),</w:t>
      </w:r>
    </w:p>
    <w:p>
      <w:r>
        <w:rPr>
          <w:rFonts w:ascii="Courier New" w:hAnsi="Courier New"/>
          <w:sz w:val="17"/>
        </w:rPr>
        <w:t xml:space="preserve">Nummer 13    (§ 274 LAG),</w:t>
      </w:r>
    </w:p>
    <w:p>
      <w:r>
        <w:rPr>
          <w:rFonts w:ascii="Courier New" w:hAnsi="Courier New"/>
          <w:sz w:val="17"/>
        </w:rPr>
        <w:t xml:space="preserve">Nummer 14    (§ 275 LAG),</w:t>
      </w:r>
    </w:p>
    <w:p>
      <w:r>
        <w:rPr>
          <w:rFonts w:ascii="Courier New" w:hAnsi="Courier New"/>
          <w:sz w:val="17"/>
        </w:rPr>
        <w:t xml:space="preserve">Nummer 15    Buchstabe b (§ 276 Abs. 4 LAG),</w:t>
      </w:r>
    </w:p>
    <w:p>
      <w:r>
        <w:rPr>
          <w:rFonts w:ascii="Courier New" w:hAnsi="Courier New"/>
          <w:sz w:val="17"/>
        </w:rPr>
        <w:t xml:space="preserve">Nummer 16    (§ 277 LAG),</w:t>
      </w:r>
    </w:p>
    <w:p>
      <w:r>
        <w:rPr>
          <w:rFonts w:ascii="Courier New" w:hAnsi="Courier New"/>
          <w:sz w:val="17"/>
        </w:rPr>
        <w:t xml:space="preserve">Nummer 18    (§ 280 LAG),</w:t>
      </w:r>
    </w:p>
    <w:p>
      <w:r>
        <w:rPr>
          <w:rFonts w:ascii="Courier New" w:hAnsi="Courier New"/>
          <w:sz w:val="17"/>
        </w:rPr>
        <w:t xml:space="preserve">Nummer 19    (§ 282 LAG),</w:t>
      </w:r>
    </w:p>
    <w:p>
      <w:r>
        <w:rPr>
          <w:rFonts w:ascii="Courier New" w:hAnsi="Courier New"/>
          <w:sz w:val="17"/>
        </w:rPr>
        <w:t xml:space="preserve">Nummer 21    Buchstabe a (§ 292 Abs. 2 und 4 LAG).</w:t>
      </w:r>
    </w:p>
    <w:p>
      <w:r>
        <w:rPr>
          <w:color w:val="555555"/>
          <w:sz w:val="17"/>
        </w:rPr>
        <w:t xml:space="preserve">Zitiervorschlag: § 9 LAGÄndG 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https://recht.nulegal.eu/gesetze/LAG%C3%84ndG%2011/9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