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8 LAG NRW (Nordrhein-Westfalen) — Inkrafttreten</w:t>
      </w:r>
    </w:p>
    <w:p>
      <w:r>
        <w:rPr>
          <w:color w:val="555555"/>
          <w:sz w:val="18"/>
        </w:rPr>
        <w:t xml:space="preserve">Landarztgesetz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Dieses Gesetz tritt am Tag nach der Verkündung in Kraft.</w:t>
      </w:r>
    </w:p>
    <w:p>
      <w:r>
        <w:t xml:space="preserve">Die Landesregierung</w:t>
      </w:r>
    </w:p>
    <w:p>
      <w:r>
        <w:t xml:space="preserve">Nordrhein-Westfalen</w:t>
      </w:r>
    </w:p>
    <w:p>
      <w:r>
        <w:t xml:space="preserve">Der Ministerpräsident</w:t>
      </w:r>
    </w:p>
    <w:p>
      <w:r>
        <w:t xml:space="preserve">Der Minister für Kinder, Familie,</w:t>
      </w:r>
    </w:p>
    <w:p>
      <w:r>
        <w:t xml:space="preserve">Flüchtlinge und Integration</w:t>
      </w:r>
    </w:p>
    <w:p>
      <w:r>
        <w:t xml:space="preserve">Der Minister der Finanzen</w:t>
      </w:r>
    </w:p>
    <w:p>
      <w:r>
        <w:t xml:space="preserve">Der Minister für Arbeit,</w:t>
      </w:r>
    </w:p>
    <w:p>
      <w:r>
        <w:t xml:space="preserve">Gesundheit und Soziales</w:t>
      </w:r>
    </w:p>
    <w:p>
      <w:r>
        <w:t xml:space="preserve">Die Ministerin für Heimat, Kommunales,</w:t>
      </w:r>
    </w:p>
    <w:p>
      <w:r>
        <w:t xml:space="preserve">Bau und Gleichstellung</w:t>
      </w:r>
    </w:p>
    <w:p>
      <w:r>
        <w:t xml:space="preserve">Die Ministerin für Umwelt, Landwirtschaft,</w:t>
      </w:r>
    </w:p>
    <w:p>
      <w:r>
        <w:t xml:space="preserve">Natur- und Verbraucherschutz</w:t>
      </w:r>
    </w:p>
    <w:p>
      <w:r>
        <w:t xml:space="preserve">Die Ministerin für Kultur und Wissenschaft</w:t>
      </w:r>
    </w:p>
    <w:p>
      <w:r>
        <w:rPr>
          <w:color w:val="555555"/>
          <w:sz w:val="17"/>
        </w:rPr>
        <w:t xml:space="preserve">Zitiervorschlag: § 8 LAG NRW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https://recht.nulegal.eu/gesetze/LAG%20NRW/8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