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LAG NRW (Nordrhein-Westfalen) — Verordnungsermächtigung</w:t>
      </w:r>
    </w:p>
    <w:p>
      <w:r>
        <w:rPr>
          <w:color w:val="555555"/>
          <w:sz w:val="18"/>
        </w:rPr>
        <w:t xml:space="preserve">Landarztgesetz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Nähere zu den Verpflichtungen gegenüber dem Land und ihrer Durchsetzung gemäß § 2 Satz 1 Nummer 2, Satz 2 und § 4, zur Bedarfsfeststellung gemäß § 3, zum Bewerbungsverfahren und zum Auswahlverfahren gemäß § 5 einschließlich der näheren Gewichtung der Auswahlkriterien sowie zur Bestimmung der zuständigen Stelle regelt das für Gesundheit zuständige Ministerium im Einvernehmen mit dem für Wissenschaft zuständigen Ministerium und dem für Finanzen zuständigen Ministerium durch Rechtsverordnung.</w:t>
      </w:r>
    </w:p>
    <w:p>
      <w:r>
        <w:rPr>
          <w:color w:val="555555"/>
          <w:sz w:val="17"/>
        </w:rPr>
        <w:t xml:space="preserve">Zitiervorschlag: § 6 LAG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