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LAG NRW (Nordrhein-Westfalen) — Vertragsstrafe</w:t>
      </w:r>
    </w:p>
    <w:p>
      <w:r>
        <w:rPr>
          <w:color w:val="555555"/>
          <w:sz w:val="18"/>
        </w:rPr>
        <w:t xml:space="preserve">Landarztgesetz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Bewerberinnen und Bewerber verpflichten sich in einem öffentlich-rechtlichen Vertrag zu einer Strafzahlung in Höhe von 250 000 Euro, wenn sie einer ihrer Verpflichtungen gemäß § 2 Satz 1 Nummer 2 nicht oder nicht unverzüglich nachkommen.</w:t>
      </w:r>
    </w:p>
    <w:p>
      <w:r>
        <w:t xml:space="preserve">(2) Die zuständige Stelle kann auf Antrag bei der Erfüllung der Verpflichtungen gemäß § 2 Satz 1 einen Aufschub gewähren oder auf die Strafzahlung gemäß Absatz 1 Satz 1 ganz, teilweise oder zeitweise verzichten, wenn ansonsten eine besondere Härte eintreten würde. Eine besondere Härte nach Satz 1 liegt vor, wenn in der Person liegende besondere soziale, gesundheitliche oder familiäre Gründe die Erfüllung der Verpflichtung unzumutbar erscheinen lassen.</w:t>
      </w:r>
    </w:p>
    <w:p>
      <w:r>
        <w:rPr>
          <w:color w:val="555555"/>
          <w:sz w:val="17"/>
        </w:rPr>
        <w:t xml:space="preserve">Zitiervorschlag: § 4 LAG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https://recht.nulegal.eu/gesetze/LAG%20NRW/4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