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 LAG NRW (Nordrhein-Westfalen) — Besonderer öffentlicher Bedarf</w:t>
      </w:r>
    </w:p>
    <w:p>
      <w:r>
        <w:rPr>
          <w:color w:val="555555"/>
          <w:sz w:val="18"/>
        </w:rPr>
        <w:t xml:space="preserve">Landarztgesetz Nordrhein-Westfalen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Ein besonderer öffentlicher Bedarf im Sinne des § 2 Satz 1 Nummer 2 Buchstabe b besteht, wenn Sachgründe die Prognose rechtfertigen, dass in den in § 1 genannten Gebieten mehr Hausärztinnen und Hausärzte benötigt werden als sich dort für eine hausärztliche Tätigkeit entscheiden werden.</w:t>
      </w:r>
    </w:p>
    <w:p>
      <w:r>
        <w:rPr>
          <w:color w:val="555555"/>
          <w:sz w:val="17"/>
        </w:rPr>
        <w:t xml:space="preserve">Zitiervorschlag: § 3 LAG NRW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https://recht.nulegal.eu/gesetze/LAG%20NRW/3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